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73" w:firstLineChars="116"/>
        <w:jc w:val="center"/>
        <w:textAlignment w:val="auto"/>
        <w:rPr>
          <w:rFonts w:hint="default" w:ascii="黑体" w:hAnsi="黑体" w:eastAsia="黑体" w:cs="黑体"/>
          <w:b/>
          <w:bCs/>
          <w:snapToGrid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/>
          <w:kern w:val="0"/>
          <w:sz w:val="32"/>
          <w:szCs w:val="32"/>
          <w:lang w:val="en-US" w:eastAsia="zh-CN"/>
        </w:rPr>
        <w:t>39.</w:t>
      </w:r>
      <w:r>
        <w:rPr>
          <w:rFonts w:hint="eastAsia" w:ascii="黑体" w:hAnsi="黑体" w:eastAsia="黑体" w:cs="黑体"/>
          <w:b/>
          <w:bCs/>
          <w:snapToGrid/>
          <w:kern w:val="0"/>
          <w:sz w:val="32"/>
          <w:szCs w:val="32"/>
          <w:lang w:eastAsia="zh-CN"/>
        </w:rPr>
        <w:t>以 NDI 封端的聚氨酯预聚体存储稳定性技术研发</w:t>
      </w:r>
    </w:p>
    <w:tbl>
      <w:tblPr>
        <w:tblStyle w:val="7"/>
        <w:tblW w:w="87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424"/>
        <w:gridCol w:w="2064"/>
        <w:gridCol w:w="2556"/>
        <w:gridCol w:w="18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8749" w:type="dxa"/>
            <w:gridSpan w:val="5"/>
          </w:tcPr>
          <w:p>
            <w:pPr>
              <w:pStyle w:val="8"/>
              <w:spacing w:before="131" w:line="221" w:lineRule="auto"/>
              <w:ind w:left="3912"/>
            </w:pPr>
            <w:r>
              <w:rPr>
                <w:b/>
                <w:bCs/>
                <w:spacing w:val="-6"/>
              </w:rPr>
              <w:t>单位信息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239" w:type="dxa"/>
            <w:gridSpan w:val="2"/>
          </w:tcPr>
          <w:p>
            <w:pPr>
              <w:pStyle w:val="8"/>
              <w:spacing w:before="193" w:line="221" w:lineRule="auto"/>
              <w:ind w:left="658"/>
            </w:pPr>
            <w:r>
              <w:rPr>
                <w:spacing w:val="-6"/>
              </w:rPr>
              <w:t>单位名称</w:t>
            </w:r>
          </w:p>
        </w:tc>
        <w:tc>
          <w:tcPr>
            <w:tcW w:w="2064" w:type="dxa"/>
          </w:tcPr>
          <w:p>
            <w:pPr>
              <w:pStyle w:val="8"/>
              <w:spacing w:before="38" w:line="223" w:lineRule="auto"/>
              <w:ind w:left="224" w:right="123" w:firstLine="12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陕西振铭时代科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技有限公司</w:t>
            </w:r>
          </w:p>
        </w:tc>
        <w:tc>
          <w:tcPr>
            <w:tcW w:w="2556" w:type="dxa"/>
          </w:tcPr>
          <w:p>
            <w:pPr>
              <w:pStyle w:val="8"/>
              <w:spacing w:before="192" w:line="222" w:lineRule="auto"/>
              <w:ind w:left="331"/>
            </w:pPr>
            <w:r>
              <w:rPr>
                <w:spacing w:val="-2"/>
              </w:rPr>
              <w:t>社会统一信用代码</w:t>
            </w:r>
          </w:p>
        </w:tc>
        <w:tc>
          <w:tcPr>
            <w:tcW w:w="1890" w:type="dxa"/>
          </w:tcPr>
          <w:p>
            <w:pPr>
              <w:spacing w:before="78" w:line="230" w:lineRule="auto"/>
              <w:ind w:left="522" w:right="123" w:hanging="39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91610430MA6X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TL1L1D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39" w:type="dxa"/>
            <w:gridSpan w:val="2"/>
          </w:tcPr>
          <w:p>
            <w:pPr>
              <w:pStyle w:val="8"/>
              <w:spacing w:before="39" w:line="206" w:lineRule="auto"/>
              <w:ind w:left="654"/>
            </w:pPr>
            <w:r>
              <w:rPr>
                <w:spacing w:val="-5"/>
              </w:rPr>
              <w:t>所属行业</w:t>
            </w:r>
          </w:p>
        </w:tc>
        <w:tc>
          <w:tcPr>
            <w:tcW w:w="2064" w:type="dxa"/>
          </w:tcPr>
          <w:p>
            <w:pPr>
              <w:pStyle w:val="8"/>
              <w:spacing w:before="39" w:line="206" w:lineRule="auto"/>
              <w:ind w:left="685"/>
            </w:pPr>
            <w:r>
              <w:rPr>
                <w:spacing w:val="-6"/>
              </w:rPr>
              <w:t>制造业</w:t>
            </w:r>
          </w:p>
        </w:tc>
        <w:tc>
          <w:tcPr>
            <w:tcW w:w="2556" w:type="dxa"/>
          </w:tcPr>
          <w:p>
            <w:pPr>
              <w:pStyle w:val="8"/>
              <w:spacing w:before="39" w:line="206" w:lineRule="auto"/>
              <w:ind w:left="812"/>
            </w:pPr>
            <w:r>
              <w:rPr>
                <w:spacing w:val="-5"/>
              </w:rPr>
              <w:t>技术领域</w:t>
            </w:r>
          </w:p>
        </w:tc>
        <w:tc>
          <w:tcPr>
            <w:tcW w:w="1890" w:type="dxa"/>
          </w:tcPr>
          <w:p>
            <w:pPr>
              <w:pStyle w:val="8"/>
              <w:spacing w:before="39" w:line="206" w:lineRule="auto"/>
              <w:ind w:left="597"/>
            </w:pPr>
            <w:r>
              <w:rPr>
                <w:spacing w:val="-6"/>
              </w:rPr>
              <w:t>新材料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749" w:type="dxa"/>
            <w:gridSpan w:val="5"/>
          </w:tcPr>
          <w:p>
            <w:pPr>
              <w:pStyle w:val="8"/>
              <w:spacing w:before="37" w:line="207" w:lineRule="auto"/>
              <w:ind w:left="3914"/>
            </w:pPr>
            <w:r>
              <w:rPr>
                <w:rFonts w:hint="eastAsia" w:ascii="Times New Roman" w:hAnsi="Times New Roman" w:eastAsia="仿宋_GB2312" w:cs="仿宋_GB2312"/>
                <w:b/>
                <w:bCs/>
                <w:snapToGrid/>
                <w:kern w:val="2"/>
                <w:lang w:eastAsia="zh-CN"/>
              </w:rPr>
              <w:t>需求信息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15" w:type="dxa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before="78"/>
              <w:ind w:left="181"/>
            </w:pPr>
            <w:r>
              <w:rPr>
                <w:spacing w:val="-9"/>
              </w:rPr>
              <w:t>技术</w:t>
            </w:r>
          </w:p>
          <w:p>
            <w:pPr>
              <w:pStyle w:val="8"/>
              <w:spacing w:line="222" w:lineRule="auto"/>
              <w:ind w:left="189"/>
            </w:pPr>
            <w:r>
              <w:rPr>
                <w:spacing w:val="-13"/>
              </w:rPr>
              <w:t>需求</w:t>
            </w:r>
          </w:p>
          <w:p>
            <w:pPr>
              <w:pStyle w:val="8"/>
              <w:spacing w:before="23" w:line="222" w:lineRule="auto"/>
              <w:ind w:left="186"/>
            </w:pPr>
            <w:r>
              <w:rPr>
                <w:spacing w:val="-11"/>
              </w:rPr>
              <w:t>情况</w:t>
            </w:r>
          </w:p>
          <w:p>
            <w:pPr>
              <w:pStyle w:val="8"/>
              <w:spacing w:before="22" w:line="224" w:lineRule="auto"/>
              <w:ind w:left="181"/>
            </w:pPr>
            <w:r>
              <w:rPr>
                <w:spacing w:val="-9"/>
              </w:rPr>
              <w:t>说明</w:t>
            </w:r>
          </w:p>
        </w:tc>
        <w:tc>
          <w:tcPr>
            <w:tcW w:w="1424" w:type="dxa"/>
          </w:tcPr>
          <w:p>
            <w:pPr>
              <w:spacing w:line="272" w:lineRule="auto"/>
            </w:pPr>
          </w:p>
          <w:p>
            <w:pPr>
              <w:pStyle w:val="8"/>
              <w:spacing w:before="78"/>
              <w:ind w:left="493"/>
            </w:pPr>
            <w:r>
              <w:rPr>
                <w:spacing w:val="-13"/>
              </w:rPr>
              <w:t>需求</w:t>
            </w:r>
          </w:p>
          <w:p>
            <w:pPr>
              <w:pStyle w:val="8"/>
              <w:spacing w:line="223" w:lineRule="auto"/>
              <w:ind w:left="486"/>
            </w:pPr>
            <w:r>
              <w:rPr>
                <w:spacing w:val="-10"/>
              </w:rPr>
              <w:t>类别</w:t>
            </w:r>
          </w:p>
        </w:tc>
        <w:tc>
          <w:tcPr>
            <w:tcW w:w="6510" w:type="dxa"/>
            <w:gridSpan w:val="3"/>
          </w:tcPr>
          <w:p>
            <w:pPr>
              <w:pStyle w:val="8"/>
              <w:spacing w:before="40" w:line="222" w:lineRule="auto"/>
              <w:ind w:left="124"/>
              <w:rPr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spacing w:val="-2"/>
                <w:lang w:eastAsia="zh-CN"/>
              </w:rPr>
              <w:t>技术研发（关键、核心技术）</w:t>
            </w:r>
          </w:p>
          <w:p>
            <w:pPr>
              <w:pStyle w:val="8"/>
              <w:spacing w:before="22"/>
              <w:ind w:left="139"/>
              <w:rPr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spacing w:val="-19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产品研发（产品升级、新产品研发）</w:t>
            </w:r>
          </w:p>
          <w:p>
            <w:pPr>
              <w:pStyle w:val="8"/>
              <w:spacing w:line="222" w:lineRule="auto"/>
              <w:ind w:left="139"/>
              <w:rPr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spacing w:val="-2"/>
                <w:lang w:eastAsia="zh-CN"/>
              </w:rPr>
              <w:t>技术改造（设备、研发生产条件）</w:t>
            </w:r>
          </w:p>
          <w:p>
            <w:pPr>
              <w:pStyle w:val="8"/>
              <w:spacing w:before="22" w:line="205" w:lineRule="auto"/>
              <w:ind w:left="139"/>
              <w:rPr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spacing w:val="-2"/>
                <w:lang w:eastAsia="zh-CN"/>
              </w:rPr>
              <w:t>技术配套（技术、产品等配套合作）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0" w:hRule="atLeast"/>
        </w:trPr>
        <w:tc>
          <w:tcPr>
            <w:tcW w:w="815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424" w:type="dxa"/>
          </w:tcPr>
          <w:p>
            <w:pPr>
              <w:spacing w:line="244" w:lineRule="auto"/>
              <w:rPr>
                <w:lang w:eastAsia="zh-CN"/>
              </w:rPr>
            </w:pPr>
          </w:p>
          <w:p>
            <w:pPr>
              <w:spacing w:line="244" w:lineRule="auto"/>
              <w:rPr>
                <w:lang w:eastAsia="zh-CN"/>
              </w:rPr>
            </w:pPr>
          </w:p>
          <w:p>
            <w:pPr>
              <w:spacing w:line="244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spacing w:line="245" w:lineRule="auto"/>
              <w:rPr>
                <w:lang w:eastAsia="zh-CN"/>
              </w:rPr>
            </w:pPr>
          </w:p>
          <w:p>
            <w:pPr>
              <w:pStyle w:val="8"/>
              <w:spacing w:before="78"/>
              <w:ind w:left="493"/>
            </w:pPr>
            <w:r>
              <w:rPr>
                <w:spacing w:val="-13"/>
              </w:rPr>
              <w:t>需求</w:t>
            </w:r>
          </w:p>
          <w:p>
            <w:pPr>
              <w:pStyle w:val="8"/>
              <w:spacing w:line="222" w:lineRule="auto"/>
              <w:ind w:left="513"/>
            </w:pPr>
            <w:r>
              <w:rPr>
                <w:spacing w:val="-23"/>
              </w:rPr>
              <w:t>内容</w:t>
            </w:r>
          </w:p>
        </w:tc>
        <w:tc>
          <w:tcPr>
            <w:tcW w:w="6510" w:type="dxa"/>
            <w:gridSpan w:val="3"/>
          </w:tcPr>
          <w:p>
            <w:pPr>
              <w:pStyle w:val="8"/>
              <w:spacing w:before="40" w:line="222" w:lineRule="auto"/>
              <w:rPr>
                <w:rFonts w:ascii="Arial"/>
                <w:b/>
                <w:bCs/>
                <w:sz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</w:rPr>
              <w:t xml:space="preserve">  </w:t>
            </w:r>
            <w:r>
              <w:rPr>
                <w:b/>
                <w:bCs/>
                <w:spacing w:val="-5"/>
              </w:rPr>
              <w:t>需求解决的技术问题</w:t>
            </w:r>
          </w:p>
          <w:p>
            <w:pPr>
              <w:pStyle w:val="8"/>
              <w:spacing w:before="78" w:line="219" w:lineRule="auto"/>
              <w:ind w:left="145" w:firstLine="468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lang w:eastAsia="zh-CN"/>
              </w:rPr>
              <w:t>以</w:t>
            </w:r>
            <w:r>
              <w:rPr>
                <w:rFonts w:hint="eastAsia" w:ascii="仿宋_GB2312" w:hAnsi="仿宋_GB2312" w:eastAsia="仿宋_GB2312" w:cs="仿宋_GB2312"/>
                <w:spacing w:val="-4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17"/>
                <w:w w:val="10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lang w:eastAsia="zh-CN"/>
              </w:rPr>
              <w:t>封端的聚氨酯预聚体存储稳定性技术解决方案</w:t>
            </w:r>
          </w:p>
          <w:p>
            <w:pPr>
              <w:pStyle w:val="8"/>
              <w:spacing w:before="78" w:line="222" w:lineRule="auto"/>
              <w:rPr>
                <w:b/>
                <w:bCs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lang w:eastAsia="zh-CN"/>
              </w:rPr>
              <w:t xml:space="preserve">2.  </w:t>
            </w:r>
            <w:r>
              <w:rPr>
                <w:b/>
                <w:bCs/>
                <w:spacing w:val="-1"/>
                <w:lang w:eastAsia="zh-CN"/>
              </w:rPr>
              <w:t>技术需求提出背景及技术应用领域</w:t>
            </w:r>
          </w:p>
          <w:p>
            <w:pPr>
              <w:pStyle w:val="8"/>
              <w:spacing w:before="27" w:line="238" w:lineRule="auto"/>
              <w:ind w:left="101" w:right="24" w:firstLine="48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NDI（1,5-萘二异氰酸酯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>），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 xml:space="preserve">可用于制造高弹性和高硬度 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>的聚氨酯弹性体。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32"/>
                <w:w w:val="10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>聚氨酯弹性体具有非常卓越的性能，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 xml:space="preserve">它具有其他各种聚氨酯弹性体无可比拟，无法替代的动态性 </w:t>
            </w:r>
            <w:r>
              <w:rPr>
                <w:rFonts w:hint="eastAsia" w:ascii="仿宋_GB2312" w:hAnsi="仿宋_GB2312" w:eastAsia="仿宋_GB2312" w:cs="仿宋_GB2312"/>
                <w:spacing w:val="-4"/>
                <w:lang w:eastAsia="zh-CN"/>
              </w:rPr>
              <w:t>能，极高的力学性能，杰出的耐切割，耐磨耐温性等。因此，</w:t>
            </w:r>
            <w:r>
              <w:rPr>
                <w:rFonts w:hint="eastAsia" w:ascii="仿宋_GB2312" w:hAnsi="仿宋_GB2312" w:eastAsia="仿宋_GB2312" w:cs="仿宋_GB2312"/>
                <w:spacing w:val="5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3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聚氨酯弹性体广泛地应用汽车避震器，叉车承重轮，印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 xml:space="preserve">染纺织胶辊、胶刮，桥梁建筑缓冲块、军工方面等。用 NDI 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 xml:space="preserve">制成的浇注型弹性体具有优异的动态特征和耐磨性，且阻尼 </w:t>
            </w:r>
            <w:r>
              <w:rPr>
                <w:rFonts w:hint="eastAsia" w:ascii="仿宋_GB2312" w:hAnsi="仿宋_GB2312" w:eastAsia="仿宋_GB2312" w:cs="仿宋_GB2312"/>
                <w:spacing w:val="-4"/>
                <w:lang w:eastAsia="zh-CN"/>
              </w:rPr>
              <w:t>小、回弹性高、内生热少，可应用于高动态载荷和耐热场合。</w:t>
            </w:r>
            <w:r>
              <w:rPr>
                <w:rFonts w:hint="eastAsia" w:ascii="仿宋_GB2312" w:hAnsi="仿宋_GB2312" w:eastAsia="仿宋_GB2312" w:cs="仿宋_GB2312"/>
                <w:spacing w:val="5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用</w:t>
            </w:r>
            <w:r>
              <w:rPr>
                <w:rFonts w:hint="eastAsia" w:ascii="仿宋_GB2312" w:hAnsi="仿宋_GB2312" w:eastAsia="仿宋_GB2312" w:cs="仿宋_GB2312"/>
                <w:spacing w:val="-47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2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制成的模压制品，撕裂强度</w:t>
            </w:r>
            <w:r>
              <w:rPr>
                <w:rFonts w:hint="eastAsia" w:ascii="仿宋_GB2312" w:hAnsi="仿宋_GB2312" w:eastAsia="仿宋_GB2312" w:cs="仿宋_GB2312"/>
                <w:spacing w:val="33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 xml:space="preserve">高，磨耗小，压缩永久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变形低和回弹性优异。NDI</w:t>
            </w:r>
            <w:r>
              <w:rPr>
                <w:rFonts w:hint="eastAsia" w:ascii="仿宋_GB2312" w:hAnsi="仿宋_GB2312" w:eastAsia="仿宋_GB2312" w:cs="仿宋_GB2312"/>
                <w:spacing w:val="3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基微孔聚氨酯弹性体制品在动态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 xml:space="preserve">载荷下，内生热低，永久变形小，且能保持良好的刚性。这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种特殊微孔聚氨酯材料主要用于汽车减震缓冲部件。</w:t>
            </w: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由于</w:t>
            </w:r>
            <w:r>
              <w:rPr>
                <w:rFonts w:hint="eastAsia" w:ascii="仿宋_GB2312" w:hAnsi="仿宋_GB2312" w:eastAsia="仿宋_GB2312" w:cs="仿宋_GB2312"/>
                <w:spacing w:val="-5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3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的两个</w:t>
            </w:r>
            <w:r>
              <w:rPr>
                <w:rFonts w:hint="eastAsia" w:ascii="仿宋_GB2312" w:hAnsi="仿宋_GB2312" w:eastAsia="仿宋_GB2312" w:cs="仿宋_GB2312"/>
                <w:spacing w:val="-5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NCO</w:t>
            </w:r>
            <w:r>
              <w:rPr>
                <w:rFonts w:hint="eastAsia" w:ascii="仿宋_GB2312" w:hAnsi="仿宋_GB2312" w:eastAsia="仿宋_GB2312" w:cs="仿宋_GB2312"/>
                <w:spacing w:val="20"/>
                <w:w w:val="10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基团裸露在萘环斜对位，同时没有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>位阻及较小的诱导作用，加之萘环的极性或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>电子陷进导致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NDI</w:t>
            </w:r>
            <w:r>
              <w:rPr>
                <w:rFonts w:hint="eastAsia" w:ascii="仿宋_GB2312" w:hAnsi="仿宋_GB2312" w:eastAsia="仿宋_GB2312" w:cs="仿宋_GB2312"/>
                <w:spacing w:val="45"/>
                <w:w w:val="10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的反应活性很大，从而可导致预聚体合成是粘度的骤升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甚至凝胶趋势，所以在</w:t>
            </w:r>
            <w:r>
              <w:rPr>
                <w:rFonts w:hint="eastAsia" w:ascii="仿宋_GB2312" w:hAnsi="仿宋_GB2312" w:eastAsia="仿宋_GB2312" w:cs="仿宋_GB2312"/>
                <w:spacing w:val="-63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2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预聚体上开发的一直较晚；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虽然</w:t>
            </w: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  <w:p>
            <w:pPr>
              <w:pStyle w:val="8"/>
              <w:spacing w:before="148" w:line="231" w:lineRule="auto"/>
              <w:ind w:left="101" w:right="107" w:firstLine="289"/>
              <w:jc w:val="both"/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  <w:sectPr>
          <w:pgSz w:w="11906" w:h="16839"/>
          <w:pgMar w:top="1431" w:right="1576" w:bottom="0" w:left="1575" w:header="0" w:footer="0" w:gutter="0"/>
          <w:cols w:space="720" w:num="1"/>
        </w:sectPr>
      </w:pPr>
    </w:p>
    <w:p>
      <w:pPr>
        <w:spacing w:line="91" w:lineRule="auto"/>
        <w:rPr>
          <w:sz w:val="2"/>
          <w:lang w:eastAsia="zh-CN"/>
        </w:rPr>
      </w:pPr>
    </w:p>
    <w:tbl>
      <w:tblPr>
        <w:tblStyle w:val="7"/>
        <w:tblW w:w="87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79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2" w:hRule="atLeast"/>
        </w:trPr>
        <w:tc>
          <w:tcPr>
            <w:tcW w:w="815" w:type="dxa"/>
          </w:tcPr>
          <w:p>
            <w:pPr>
              <w:rPr>
                <w:lang w:eastAsia="zh-CN"/>
              </w:rPr>
            </w:pPr>
          </w:p>
        </w:tc>
        <w:tc>
          <w:tcPr>
            <w:tcW w:w="7934" w:type="dxa"/>
          </w:tcPr>
          <w:p>
            <w:pPr>
              <w:pStyle w:val="8"/>
              <w:spacing w:before="41" w:line="236" w:lineRule="auto"/>
              <w:ind w:left="1525" w:right="107" w:firstLine="18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pict>
                <v:rect id="_x0000_s1026" o:spid="_x0000_s1026" o:spt="1" style="position:absolute;left:0pt;margin-left:70.95pt;margin-top:0pt;height:690.15pt;width:0.5pt;mso-position-horizontal-relative:page;mso-position-vertical-relative:page;z-index:251659264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该原料是拜耳公司最先推出，但是国内预聚体上却一直没有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 xml:space="preserve">大范围的推广该种体系的聚合物，法国博雷也称掌握该方面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的技术，后面被拜耳收购。因此目前市场可以采购到的成熟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预聚体，正是由于本身工艺难和存储问题及价格因素，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在国内预聚体行业一直也没有成熟发展起来。</w:t>
            </w:r>
          </w:p>
          <w:p>
            <w:pPr>
              <w:pStyle w:val="8"/>
              <w:spacing w:before="148" w:line="233" w:lineRule="auto"/>
              <w:ind w:left="1546" w:right="107" w:firstLine="505" w:firstLineChars="214"/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在国内</w:t>
            </w:r>
            <w:r>
              <w:rPr>
                <w:rFonts w:hint="eastAsia" w:ascii="仿宋_GB2312" w:hAnsi="仿宋_GB2312" w:eastAsia="仿宋_GB2312" w:cs="仿宋_GB2312"/>
                <w:spacing w:val="-57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16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体系预聚体的技术报道有一些检索结构，但对预聚体配方和工艺描述含糊参考性不强，极个别推出</w:t>
            </w:r>
            <w:r>
              <w:rPr>
                <w:rFonts w:hint="eastAsia" w:ascii="仿宋_GB2312" w:hAnsi="仿宋_GB2312" w:eastAsia="仿宋_GB2312" w:cs="仿宋_GB2312"/>
                <w:spacing w:val="-5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1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预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聚体厂家，材料实际应用于预期差距较大。</w:t>
            </w:r>
          </w:p>
          <w:p>
            <w:pPr>
              <w:pStyle w:val="8"/>
              <w:spacing w:before="146" w:line="222" w:lineRule="auto"/>
              <w:ind w:left="1538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3.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</w:rPr>
              <w:t xml:space="preserve">  </w:t>
            </w:r>
            <w:r>
              <w:rPr>
                <w:b/>
                <w:bCs/>
                <w:spacing w:val="-5"/>
              </w:rPr>
              <w:t>技术难点</w:t>
            </w:r>
          </w:p>
          <w:p>
            <w:pPr>
              <w:pStyle w:val="8"/>
              <w:spacing w:before="25" w:line="236" w:lineRule="auto"/>
              <w:ind w:left="1545" w:right="107" w:firstLine="489" w:firstLineChars="204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NDI</w:t>
            </w:r>
            <w:r>
              <w:rPr>
                <w:rFonts w:hint="eastAsia" w:ascii="仿宋_GB2312" w:hAnsi="仿宋_GB2312" w:eastAsia="仿宋_GB2312" w:cs="仿宋_GB2312"/>
                <w:spacing w:val="5"/>
                <w:lang w:eastAsia="zh-CN"/>
              </w:rPr>
              <w:t>全名1,5萘二异氰酸酯</w:t>
            </w:r>
            <w:r>
              <w:rPr>
                <w:rFonts w:hint="eastAsia" w:ascii="仿宋_GB2312" w:hAnsi="仿宋_GB2312" w:eastAsia="仿宋_GB2312" w:cs="仿宋_GB2312"/>
                <w:spacing w:val="-7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5"/>
                <w:lang w:eastAsia="zh-CN"/>
              </w:rPr>
              <w:t>，常温下为结晶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>固体</w:t>
            </w:r>
            <w:r>
              <w:rPr>
                <w:rFonts w:hint="eastAsia" w:ascii="仿宋_GB2312" w:hAnsi="仿宋_GB2312" w:eastAsia="仿宋_GB2312" w:cs="仿宋_GB2312"/>
                <w:spacing w:val="-7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>，熔点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130 ℃</w:t>
            </w:r>
            <w:r>
              <w:rPr>
                <w:rFonts w:hint="eastAsia" w:ascii="仿宋_GB2312" w:hAnsi="仿宋_GB2312" w:eastAsia="仿宋_GB2312" w:cs="仿宋_GB2312"/>
                <w:spacing w:val="-7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,不同于</w:t>
            </w:r>
            <w:r>
              <w:rPr>
                <w:rFonts w:hint="eastAsia" w:ascii="仿宋_GB2312" w:hAnsi="仿宋_GB2312" w:eastAsia="仿宋_GB2312" w:cs="仿宋_GB2312"/>
                <w:spacing w:val="-53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TDI(甲苯二异氰酸酯）常温液态，和</w:t>
            </w:r>
            <w:r>
              <w:rPr>
                <w:rFonts w:hint="eastAsia" w:ascii="仿宋_GB2312" w:hAnsi="仿宋_GB2312" w:eastAsia="仿宋_GB2312" w:cs="仿宋_GB2312"/>
                <w:spacing w:val="-56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MDI(二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6"/>
                <w:lang w:eastAsia="zh-CN"/>
              </w:rPr>
              <w:t>苯基甲烷二异氰酸酯）熔点</w:t>
            </w:r>
            <w:r>
              <w:rPr>
                <w:rFonts w:hint="eastAsia" w:ascii="仿宋_GB2312" w:hAnsi="仿宋_GB2312" w:eastAsia="仿宋_GB2312" w:cs="仿宋_GB2312"/>
                <w:spacing w:val="-5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6"/>
                <w:lang w:eastAsia="zh-CN"/>
              </w:rPr>
              <w:t>36 ℃</w:t>
            </w:r>
            <w:r>
              <w:rPr>
                <w:rFonts w:hint="eastAsia" w:ascii="仿宋_GB2312" w:hAnsi="仿宋_GB2312" w:eastAsia="仿宋_GB2312" w:cs="仿宋_GB2312"/>
                <w:spacing w:val="-87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6"/>
                <w:lang w:eastAsia="zh-CN"/>
              </w:rPr>
              <w:t>, NDI的130℃熔点</w:t>
            </w: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高于一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般聚氨酯预聚体异氰酸酯封端反应的控制温度，预聚体反应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温度的被迫升高不利于副反应控制；</w:t>
            </w:r>
          </w:p>
          <w:p>
            <w:pPr>
              <w:pStyle w:val="8"/>
              <w:spacing w:before="143" w:line="235" w:lineRule="auto"/>
              <w:ind w:left="1525" w:right="107" w:firstLine="564" w:firstLineChars="237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由于</w:t>
            </w:r>
            <w:r>
              <w:rPr>
                <w:rFonts w:hint="eastAsia" w:ascii="仿宋_GB2312" w:hAnsi="仿宋_GB2312" w:eastAsia="仿宋_GB2312" w:cs="仿宋_GB2312"/>
                <w:spacing w:val="-5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NDI的两个</w:t>
            </w:r>
            <w:r>
              <w:rPr>
                <w:rFonts w:hint="eastAsia" w:ascii="仿宋_GB2312" w:hAnsi="仿宋_GB2312" w:eastAsia="仿宋_GB2312" w:cs="仿宋_GB2312"/>
                <w:spacing w:val="-5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NCO</w:t>
            </w:r>
            <w:r>
              <w:rPr>
                <w:rFonts w:hint="eastAsia" w:ascii="仿宋_GB2312" w:hAnsi="仿宋_GB2312" w:eastAsia="仿宋_GB2312" w:cs="仿宋_GB2312"/>
                <w:spacing w:val="20"/>
                <w:w w:val="10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基团裸露在萘环斜对位，同时没有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>位阻及较小的诱导作用，加之萘环的极性或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>电子陷进导致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NDI</w:t>
            </w:r>
            <w:r>
              <w:rPr>
                <w:rFonts w:hint="eastAsia" w:ascii="仿宋_GB2312" w:hAnsi="仿宋_GB2312" w:eastAsia="仿宋_GB2312" w:cs="仿宋_GB2312"/>
                <w:spacing w:val="4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的反应活性很大，从而可导致与低聚物二醇合成聚氨酯 弹性体预聚体时，合成过程的粘度骤升甚至凝胶趋势；</w:t>
            </w:r>
          </w:p>
          <w:p>
            <w:pPr>
              <w:pStyle w:val="8"/>
              <w:spacing w:before="148" w:line="235" w:lineRule="auto"/>
              <w:ind w:left="1545" w:right="107" w:firstLine="513" w:firstLineChars="214"/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更为不利的是已合成的聚氨酯弹性体中间产品——NDI</w:t>
            </w:r>
            <w:r>
              <w:rPr>
                <w:rFonts w:hint="eastAsia" w:ascii="仿宋_GB2312" w:hAnsi="仿宋_GB2312" w:eastAsia="仿宋_GB2312" w:cs="仿宋_GB2312"/>
                <w:spacing w:val="26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预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聚体，常温下的自聚倾向使关键的弹性体聚合控制指标——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lang w:eastAsia="zh-CN"/>
              </w:rPr>
              <w:t>剩余</w:t>
            </w:r>
            <w:r>
              <w:rPr>
                <w:rFonts w:hint="eastAsia" w:ascii="仿宋_GB2312" w:hAnsi="仿宋_GB2312" w:eastAsia="仿宋_GB2312" w:cs="仿宋_GB2312"/>
                <w:spacing w:val="-6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lang w:eastAsia="zh-CN"/>
              </w:rPr>
              <w:t>NCO 有明显的降低趋势，同时操作温度下工艺性能重要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参数——预聚体粘度显著增加。</w:t>
            </w:r>
          </w:p>
          <w:p>
            <w:pPr>
              <w:pStyle w:val="8"/>
              <w:spacing w:before="78" w:line="207" w:lineRule="auto"/>
              <w:ind w:left="1532"/>
              <w:rPr>
                <w:b/>
                <w:bCs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  <w:sz w:val="20"/>
                <w:szCs w:val="20"/>
                <w:lang w:eastAsia="zh-CN"/>
              </w:rPr>
              <w:t xml:space="preserve"> </w:t>
            </w:r>
            <w:r>
              <w:rPr>
                <w:b/>
                <w:bCs/>
                <w:spacing w:val="-2"/>
                <w:lang w:eastAsia="zh-CN"/>
              </w:rPr>
              <w:t>主要技术经济指标</w:t>
            </w:r>
          </w:p>
          <w:p>
            <w:pPr>
              <w:pStyle w:val="8"/>
              <w:spacing w:before="1" w:line="256" w:lineRule="auto"/>
              <w:ind w:left="1525" w:right="145" w:firstLine="523"/>
              <w:rPr>
                <w:lang w:eastAsia="zh-CN"/>
              </w:rPr>
            </w:pPr>
            <w:r>
              <w:rPr>
                <w:spacing w:val="-5"/>
                <w:lang w:eastAsia="zh-CN"/>
              </w:rPr>
              <w:t>以</w:t>
            </w:r>
            <w:r>
              <w:rPr>
                <w:spacing w:val="-55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lang w:eastAsia="zh-CN"/>
              </w:rPr>
              <w:t>PCL</w:t>
            </w:r>
            <w:r>
              <w:rPr>
                <w:rFonts w:ascii="Times New Roman" w:hAnsi="Times New Roman" w:eastAsia="Times New Roman" w:cs="Times New Roman"/>
                <w:spacing w:val="18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聚己内酯二醇</w:t>
            </w:r>
            <w:r>
              <w:rPr>
                <w:spacing w:val="-56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lang w:eastAsia="zh-CN"/>
              </w:rPr>
              <w:t>Mn=2000</w:t>
            </w:r>
            <w:r>
              <w:rPr>
                <w:rFonts w:ascii="Times New Roman" w:hAnsi="Times New Roman" w:eastAsia="Times New Roman" w:cs="Times New Roman"/>
                <w:spacing w:val="25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与</w:t>
            </w:r>
            <w:r>
              <w:rPr>
                <w:spacing w:val="-63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lang w:eastAsia="zh-CN"/>
              </w:rPr>
              <w:t>NDI</w:t>
            </w:r>
            <w:r>
              <w:rPr>
                <w:rFonts w:ascii="Times New Roman" w:hAnsi="Times New Roman" w:eastAsia="Times New Roman" w:cs="Times New Roman"/>
                <w:spacing w:val="24"/>
                <w:w w:val="101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合成</w:t>
            </w:r>
            <w:r>
              <w:rPr>
                <w:spacing w:val="-50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天</w:t>
            </w:r>
            <w:r>
              <w:rPr>
                <w:spacing w:val="-6"/>
                <w:lang w:eastAsia="zh-CN"/>
              </w:rPr>
              <w:t>后标定</w:t>
            </w:r>
            <w:r>
              <w:rPr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lang w:eastAsia="zh-CN"/>
              </w:rPr>
              <w:t>NCO%=3.8</w:t>
            </w:r>
            <w:r>
              <w:rPr>
                <w:rFonts w:ascii="Times New Roman" w:hAnsi="Times New Roman" w:eastAsia="Times New Roman" w:cs="Times New Roman"/>
                <w:spacing w:val="-25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，作为典型物理性要求</w:t>
            </w:r>
          </w:p>
          <w:p>
            <w:pPr>
              <w:pStyle w:val="8"/>
              <w:spacing w:line="220" w:lineRule="auto"/>
              <w:ind w:left="1537"/>
            </w:pPr>
            <w:r>
              <w:rPr>
                <w:spacing w:val="-2"/>
              </w:rPr>
              <w:t>①物理性能</w:t>
            </w:r>
          </w:p>
          <w:p>
            <w:pPr>
              <w:spacing w:line="175" w:lineRule="exact"/>
            </w:pPr>
          </w:p>
          <w:tbl>
            <w:tblPr>
              <w:tblStyle w:val="7"/>
              <w:tblW w:w="6242" w:type="dxa"/>
              <w:tblInd w:w="154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12"/>
              <w:gridCol w:w="1284"/>
              <w:gridCol w:w="1173"/>
              <w:gridCol w:w="1773"/>
            </w:tblGrid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6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42" w:line="172" w:lineRule="auto"/>
                    <w:ind w:left="539"/>
                  </w:pPr>
                  <w:r>
                    <w:rPr>
                      <w:spacing w:val="-4"/>
                    </w:rPr>
                    <w:t>测试内容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42" w:line="172" w:lineRule="auto"/>
                    <w:ind w:left="177"/>
                  </w:pPr>
                  <w:r>
                    <w:rPr>
                      <w:spacing w:val="-5"/>
                    </w:rPr>
                    <w:t>性能指标</w:t>
                  </w:r>
                </w:p>
              </w:tc>
              <w:tc>
                <w:tcPr>
                  <w:tcW w:w="1173" w:type="dxa"/>
                </w:tcPr>
                <w:p>
                  <w:pPr>
                    <w:pStyle w:val="8"/>
                    <w:spacing w:before="42" w:line="172" w:lineRule="auto"/>
                    <w:ind w:left="365"/>
                  </w:pPr>
                  <w:r>
                    <w:rPr>
                      <w:spacing w:val="-11"/>
                    </w:rPr>
                    <w:t>单位</w:t>
                  </w:r>
                </w:p>
              </w:tc>
              <w:tc>
                <w:tcPr>
                  <w:tcW w:w="1773" w:type="dxa"/>
                </w:tcPr>
                <w:p>
                  <w:pPr>
                    <w:pStyle w:val="8"/>
                    <w:spacing w:before="42" w:line="172" w:lineRule="auto"/>
                    <w:ind w:left="419"/>
                  </w:pPr>
                  <w:r>
                    <w:rPr>
                      <w:spacing w:val="-4"/>
                    </w:rPr>
                    <w:t>测试标准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68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65" w:line="331" w:lineRule="exact"/>
                    <w:ind w:left="120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2"/>
                      <w:position w:val="12"/>
                      <w:sz w:val="18"/>
                      <w:szCs w:val="18"/>
                    </w:rPr>
                    <w:t>粘度</w:t>
                  </w:r>
                  <w:r>
                    <w:rPr>
                      <w:spacing w:val="-33"/>
                      <w:position w:val="1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position w:val="12"/>
                      <w:sz w:val="18"/>
                      <w:szCs w:val="18"/>
                    </w:rPr>
                    <w:t>90</w:t>
                  </w:r>
                  <w:r>
                    <w:rPr>
                      <w:spacing w:val="-2"/>
                      <w:position w:val="12"/>
                      <w:sz w:val="18"/>
                      <w:szCs w:val="18"/>
                    </w:rPr>
                    <w:t>℃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position w:val="12"/>
                      <w:sz w:val="18"/>
                      <w:szCs w:val="18"/>
                    </w:rPr>
                    <w:t>/(MPa.s)</w:t>
                  </w:r>
                </w:p>
                <w:p>
                  <w:pPr>
                    <w:spacing w:line="186" w:lineRule="auto"/>
                    <w:ind w:left="725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(MPa.s)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192"/>
                    <w:ind w:left="388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≤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2000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before="223" w:line="185" w:lineRule="auto"/>
                    <w:ind w:left="368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mPa</w:t>
                  </w:r>
                  <w:r>
                    <w:rPr>
                      <w:rFonts w:ascii="Times New Roman" w:hAnsi="Times New Roman" w:eastAsia="Times New Roman" w:cs="Times New Roman"/>
                      <w:spacing w:val="4"/>
                      <w:sz w:val="18"/>
                      <w:szCs w:val="18"/>
                    </w:rPr>
                    <w:t>.s</w:t>
                  </w:r>
                </w:p>
              </w:tc>
              <w:tc>
                <w:tcPr>
                  <w:tcW w:w="1773" w:type="dxa"/>
                </w:tcPr>
                <w:p>
                  <w:pPr>
                    <w:spacing w:before="217" w:line="192" w:lineRule="auto"/>
                    <w:ind w:left="52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sz w:val="18"/>
                      <w:szCs w:val="18"/>
                    </w:rPr>
                    <w:t>GB/T 265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2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92" w:line="222" w:lineRule="auto"/>
                    <w:ind w:left="118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硬度，邵尔</w:t>
                  </w:r>
                  <w:r>
                    <w:rPr>
                      <w:spacing w:val="-4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92" w:line="236" w:lineRule="auto"/>
                    <w:ind w:left="421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95</w:t>
                  </w:r>
                  <w:r>
                    <w:rPr>
                      <w:spacing w:val="-2"/>
                      <w:sz w:val="18"/>
                      <w:szCs w:val="18"/>
                    </w:rPr>
                    <w:t>±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before="119" w:line="192" w:lineRule="auto"/>
                    <w:ind w:left="298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Shore A</w:t>
                  </w:r>
                </w:p>
              </w:tc>
              <w:tc>
                <w:tcPr>
                  <w:tcW w:w="1773" w:type="dxa"/>
                </w:tcPr>
                <w:p>
                  <w:pPr>
                    <w:spacing w:before="119" w:line="192" w:lineRule="auto"/>
                    <w:ind w:left="459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GB/T</w:t>
                  </w:r>
                  <w:r>
                    <w:rPr>
                      <w:rFonts w:ascii="Times New Roman" w:hAnsi="Times New Roman" w:eastAsia="Times New Roman" w:cs="Times New Roman"/>
                      <w:spacing w:val="12"/>
                      <w:w w:val="10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531.1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8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106" w:line="222" w:lineRule="auto"/>
                    <w:ind w:left="119"/>
                    <w:rPr>
                      <w:sz w:val="18"/>
                      <w:szCs w:val="18"/>
                    </w:rPr>
                  </w:pPr>
                  <w:r>
                    <w:rPr>
                      <w:spacing w:val="-3"/>
                      <w:sz w:val="18"/>
                      <w:szCs w:val="18"/>
                    </w:rPr>
                    <w:t>拉伸强度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106" w:line="242" w:lineRule="auto"/>
                    <w:ind w:left="482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8"/>
                      <w:sz w:val="18"/>
                      <w:szCs w:val="18"/>
                    </w:rPr>
                    <w:t>≥</w:t>
                  </w:r>
                  <w:r>
                    <w:rPr>
                      <w:rFonts w:ascii="Times New Roman" w:hAnsi="Times New Roman" w:eastAsia="Times New Roman" w:cs="Times New Roman"/>
                      <w:spacing w:val="-8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before="140" w:line="185" w:lineRule="auto"/>
                    <w:ind w:left="41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sz w:val="18"/>
                      <w:szCs w:val="18"/>
                    </w:rPr>
                    <w:t>MPa</w:t>
                  </w:r>
                </w:p>
              </w:tc>
              <w:tc>
                <w:tcPr>
                  <w:tcW w:w="1773" w:type="dxa"/>
                </w:tcPr>
                <w:p>
                  <w:pPr>
                    <w:spacing w:before="134" w:line="192" w:lineRule="auto"/>
                    <w:ind w:left="52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GB/T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528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4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65" w:line="221" w:lineRule="auto"/>
                    <w:ind w:left="119"/>
                    <w:rPr>
                      <w:sz w:val="18"/>
                      <w:szCs w:val="18"/>
                    </w:rPr>
                  </w:pPr>
                  <w:r>
                    <w:rPr>
                      <w:spacing w:val="-3"/>
                      <w:sz w:val="18"/>
                      <w:szCs w:val="18"/>
                    </w:rPr>
                    <w:t>拉断伸长率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66"/>
                    <w:ind w:left="439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6"/>
                      <w:sz w:val="18"/>
                      <w:szCs w:val="18"/>
                    </w:rPr>
                    <w:t>≥</w:t>
                  </w:r>
                  <w:r>
                    <w:rPr>
                      <w:rFonts w:ascii="Times New Roman" w:hAnsi="Times New Roman" w:eastAsia="Times New Roman" w:cs="Times New Roman"/>
                      <w:spacing w:val="-6"/>
                      <w:sz w:val="18"/>
                      <w:szCs w:val="18"/>
                    </w:rPr>
                    <w:t>350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before="96" w:line="188" w:lineRule="auto"/>
                    <w:ind w:left="516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773" w:type="dxa"/>
                </w:tcPr>
                <w:p>
                  <w:pPr>
                    <w:spacing w:before="93" w:line="192" w:lineRule="auto"/>
                    <w:ind w:left="52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GB/T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528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3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128" w:line="223" w:lineRule="auto"/>
                    <w:ind w:left="122"/>
                    <w:rPr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撕裂强度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128"/>
                    <w:ind w:left="439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6"/>
                      <w:sz w:val="18"/>
                      <w:szCs w:val="18"/>
                    </w:rPr>
                    <w:t>≥</w:t>
                  </w:r>
                  <w:r>
                    <w:rPr>
                      <w:rFonts w:ascii="Times New Roman" w:hAnsi="Times New Roman" w:eastAsia="Times New Roman" w:cs="Times New Roman"/>
                      <w:spacing w:val="-6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before="156" w:line="192" w:lineRule="auto"/>
                    <w:ind w:left="380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sz w:val="18"/>
                      <w:szCs w:val="18"/>
                    </w:rPr>
                    <w:t>kN/m</w:t>
                  </w:r>
                </w:p>
              </w:tc>
              <w:tc>
                <w:tcPr>
                  <w:tcW w:w="1773" w:type="dxa"/>
                </w:tcPr>
                <w:p>
                  <w:pPr>
                    <w:spacing w:before="93" w:line="192" w:lineRule="auto"/>
                    <w:ind w:left="52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GB/T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529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23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65" w:line="288" w:lineRule="auto"/>
                    <w:ind w:left="125" w:right="190" w:hanging="5"/>
                    <w:jc w:val="both"/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spacing w:val="-2"/>
                      <w:sz w:val="18"/>
                      <w:szCs w:val="18"/>
                      <w:lang w:eastAsia="zh-CN"/>
                    </w:rPr>
                    <w:t>压缩永久变形，热空</w:t>
                  </w:r>
                  <w:r>
                    <w:rPr>
                      <w:spacing w:val="2"/>
                      <w:sz w:val="18"/>
                      <w:szCs w:val="18"/>
                      <w:lang w:eastAsia="zh-CN"/>
                    </w:rPr>
                    <w:t xml:space="preserve">  </w:t>
                  </w:r>
                  <w:r>
                    <w:rPr>
                      <w:spacing w:val="-10"/>
                      <w:sz w:val="18"/>
                      <w:szCs w:val="18"/>
                      <w:lang w:eastAsia="zh-CN"/>
                    </w:rPr>
                    <w:t>气，</w:t>
                  </w:r>
                  <w:r>
                    <w:rPr>
                      <w:rFonts w:ascii="Times New Roman" w:hAnsi="Times New Roman" w:eastAsia="Times New Roman" w:cs="Times New Roman"/>
                      <w:spacing w:val="-10"/>
                      <w:sz w:val="18"/>
                      <w:szCs w:val="18"/>
                      <w:lang w:eastAsia="zh-CN"/>
                    </w:rPr>
                    <w:t>70</w:t>
                  </w:r>
                  <w:r>
                    <w:rPr>
                      <w:spacing w:val="-10"/>
                      <w:sz w:val="18"/>
                      <w:szCs w:val="18"/>
                      <w:lang w:eastAsia="zh-CN"/>
                    </w:rPr>
                    <w:t>℃</w:t>
                  </w:r>
                  <w:r>
                    <w:rPr>
                      <w:spacing w:val="-55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pacing w:val="-10"/>
                      <w:sz w:val="18"/>
                      <w:szCs w:val="18"/>
                      <w:lang w:eastAsia="zh-CN"/>
                    </w:rPr>
                    <w:t>,</w:t>
                  </w:r>
                  <w:r>
                    <w:rPr>
                      <w:spacing w:val="41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0"/>
                      <w:sz w:val="18"/>
                      <w:szCs w:val="18"/>
                      <w:lang w:eastAsia="zh-CN"/>
                    </w:rPr>
                    <w:t>24h</w:t>
                  </w:r>
                  <w:r>
                    <w:rPr>
                      <w:rFonts w:ascii="Times New Roman" w:hAnsi="Times New Roman" w:eastAsia="Times New Roman" w:cs="Times New Roman"/>
                      <w:spacing w:val="-21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pacing w:val="-10"/>
                      <w:sz w:val="18"/>
                      <w:szCs w:val="18"/>
                      <w:lang w:eastAsia="zh-CN"/>
                    </w:rPr>
                    <w:t>，压缩</w:t>
                  </w:r>
                  <w:r>
                    <w:rPr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pacing w:val="-6"/>
                      <w:sz w:val="18"/>
                      <w:szCs w:val="18"/>
                      <w:lang w:eastAsia="zh-CN"/>
                    </w:rPr>
                    <w:t>率</w:t>
                  </w:r>
                  <w:r>
                    <w:rPr>
                      <w:spacing w:val="-38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6"/>
                      <w:sz w:val="18"/>
                      <w:szCs w:val="18"/>
                      <w:lang w:eastAsia="zh-CN"/>
                    </w:rPr>
                    <w:t>25%</w:t>
                  </w:r>
                </w:p>
              </w:tc>
              <w:tc>
                <w:tcPr>
                  <w:tcW w:w="1284" w:type="dxa"/>
                </w:tcPr>
                <w:p>
                  <w:pPr>
                    <w:spacing w:line="309" w:lineRule="auto"/>
                    <w:rPr>
                      <w:lang w:eastAsia="zh-CN"/>
                    </w:rPr>
                  </w:pPr>
                </w:p>
                <w:p>
                  <w:pPr>
                    <w:pStyle w:val="8"/>
                    <w:spacing w:before="58"/>
                    <w:ind w:left="47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7"/>
                      <w:sz w:val="18"/>
                      <w:szCs w:val="18"/>
                    </w:rPr>
                    <w:t>≤</w:t>
                  </w:r>
                  <w:r>
                    <w:rPr>
                      <w:rFonts w:ascii="Times New Roman" w:hAnsi="Times New Roman" w:eastAsia="Times New Roman" w:cs="Times New Roman"/>
                      <w:spacing w:val="-7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line="346" w:lineRule="auto"/>
                  </w:pPr>
                </w:p>
                <w:p>
                  <w:pPr>
                    <w:spacing w:before="52" w:line="188" w:lineRule="auto"/>
                    <w:ind w:left="516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773" w:type="dxa"/>
                </w:tcPr>
                <w:p>
                  <w:pPr>
                    <w:pStyle w:val="8"/>
                    <w:spacing w:line="221" w:lineRule="auto"/>
                    <w:ind w:left="414" w:right="181" w:hanging="234"/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spacing w:val="-5"/>
                      <w:sz w:val="18"/>
                      <w:szCs w:val="18"/>
                      <w:lang w:eastAsia="zh-CN"/>
                    </w:rPr>
                    <w:t>（直角型无割口）</w:t>
                  </w:r>
                  <w:r>
                    <w:rPr>
                      <w:spacing w:val="5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sz w:val="18"/>
                      <w:szCs w:val="18"/>
                      <w:lang w:eastAsia="zh-CN"/>
                    </w:rPr>
                    <w:t>GB/T 7759.</w:t>
                  </w:r>
                  <w:r>
                    <w:rPr>
                      <w:rFonts w:ascii="Times New Roman" w:hAnsi="Times New Roman" w:eastAsia="Times New Roman" w:cs="Times New Roman"/>
                      <w:spacing w:val="-19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sz w:val="18"/>
                      <w:szCs w:val="18"/>
                      <w:lang w:eastAsia="zh-CN"/>
                    </w:rPr>
                    <w:t>1</w:t>
                  </w:r>
                </w:p>
                <w:p>
                  <w:pPr>
                    <w:pStyle w:val="8"/>
                    <w:spacing w:before="119" w:line="219" w:lineRule="auto"/>
                    <w:ind w:left="362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pacing w:val="-7"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ascii="Times New Roman" w:hAnsi="Times New Roman" w:eastAsia="Times New Roman" w:cs="Times New Roman"/>
                      <w:spacing w:val="-7"/>
                      <w:sz w:val="18"/>
                      <w:szCs w:val="18"/>
                      <w:lang w:eastAsia="zh-CN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spacing w:val="24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pacing w:val="-7"/>
                      <w:sz w:val="18"/>
                      <w:szCs w:val="18"/>
                      <w:lang w:eastAsia="zh-CN"/>
                    </w:rPr>
                    <w:t>型试样）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8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105" w:line="221" w:lineRule="auto"/>
                    <w:ind w:left="131"/>
                    <w:rPr>
                      <w:sz w:val="18"/>
                      <w:szCs w:val="18"/>
                    </w:rPr>
                  </w:pPr>
                  <w:r>
                    <w:rPr>
                      <w:spacing w:val="-5"/>
                      <w:sz w:val="18"/>
                      <w:szCs w:val="18"/>
                    </w:rPr>
                    <w:t>阿克隆磨耗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105"/>
                    <w:ind w:left="455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5"/>
                      <w:sz w:val="18"/>
                      <w:szCs w:val="18"/>
                    </w:rPr>
                    <w:t>≤</w:t>
                  </w:r>
                  <w:r>
                    <w:rPr>
                      <w:rFonts w:ascii="Times New Roman" w:hAnsi="Times New Roman" w:eastAsia="Times New Roman" w:cs="Times New Roman"/>
                      <w:spacing w:val="-5"/>
                      <w:sz w:val="18"/>
                      <w:szCs w:val="18"/>
                    </w:rPr>
                    <w:t>0.</w:t>
                  </w:r>
                  <w:r>
                    <w:rPr>
                      <w:rFonts w:ascii="Times New Roman" w:hAnsi="Times New Roman" w:eastAsia="Times New Roman" w:cs="Times New Roman"/>
                      <w:spacing w:val="-2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before="128" w:line="197" w:lineRule="exact"/>
                    <w:ind w:left="151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3"/>
                      <w:position w:val="1"/>
                      <w:sz w:val="18"/>
                      <w:szCs w:val="18"/>
                    </w:rPr>
                    <w:t>cm</w:t>
                  </w:r>
                  <w:r>
                    <w:rPr>
                      <w:rFonts w:ascii="微软雅黑" w:hAnsi="微软雅黑" w:eastAsia="微软雅黑" w:cs="微软雅黑"/>
                      <w:spacing w:val="-13"/>
                      <w:position w:val="1"/>
                      <w:sz w:val="18"/>
                      <w:szCs w:val="18"/>
                    </w:rPr>
                    <w:t>。</w:t>
                  </w:r>
                  <w:r>
                    <w:rPr>
                      <w:rFonts w:ascii="Times New Roman" w:hAnsi="Times New Roman" w:eastAsia="Times New Roman" w:cs="Times New Roman"/>
                      <w:spacing w:val="-13"/>
                      <w:position w:val="1"/>
                      <w:sz w:val="18"/>
                      <w:szCs w:val="18"/>
                    </w:rPr>
                    <w:t>/1.61km</w:t>
                  </w:r>
                </w:p>
              </w:tc>
              <w:tc>
                <w:tcPr>
                  <w:tcW w:w="1773" w:type="dxa"/>
                </w:tcPr>
                <w:p>
                  <w:pPr>
                    <w:spacing w:before="133" w:line="192" w:lineRule="auto"/>
                    <w:ind w:left="481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GB/T</w:t>
                  </w:r>
                  <w:r>
                    <w:rPr>
                      <w:rFonts w:ascii="Times New Roman" w:hAnsi="Times New Roman" w:eastAsia="Times New Roman" w:cs="Times New Roman"/>
                      <w:spacing w:val="26"/>
                      <w:w w:val="10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1689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0" w:hRule="atLeast"/>
              </w:trPr>
              <w:tc>
                <w:tcPr>
                  <w:tcW w:w="2012" w:type="dxa"/>
                </w:tcPr>
                <w:p>
                  <w:pPr>
                    <w:pStyle w:val="8"/>
                    <w:spacing w:before="65" w:line="219" w:lineRule="auto"/>
                    <w:ind w:left="120"/>
                    <w:rPr>
                      <w:sz w:val="18"/>
                      <w:szCs w:val="18"/>
                    </w:rPr>
                  </w:pPr>
                  <w:r>
                    <w:rPr>
                      <w:spacing w:val="-7"/>
                      <w:sz w:val="18"/>
                      <w:szCs w:val="18"/>
                    </w:rPr>
                    <w:t>低温脆性，在</w:t>
                  </w:r>
                  <w:r>
                    <w:rPr>
                      <w:rFonts w:ascii="Times New Roman" w:hAnsi="Times New Roman" w:eastAsia="Times New Roman" w:cs="Times New Roman"/>
                      <w:spacing w:val="-7"/>
                      <w:sz w:val="18"/>
                      <w:szCs w:val="18"/>
                    </w:rPr>
                    <w:t>-40</w:t>
                  </w:r>
                  <w:r>
                    <w:rPr>
                      <w:spacing w:val="-7"/>
                      <w:sz w:val="18"/>
                      <w:szCs w:val="18"/>
                    </w:rPr>
                    <w:t>℃下冲</w:t>
                  </w:r>
                </w:p>
              </w:tc>
              <w:tc>
                <w:tcPr>
                  <w:tcW w:w="1284" w:type="dxa"/>
                </w:tcPr>
                <w:p>
                  <w:pPr>
                    <w:pStyle w:val="8"/>
                    <w:spacing w:before="77" w:line="224" w:lineRule="auto"/>
                    <w:ind w:left="383"/>
                    <w:rPr>
                      <w:sz w:val="18"/>
                      <w:szCs w:val="18"/>
                    </w:rPr>
                  </w:pPr>
                  <w:r>
                    <w:rPr>
                      <w:spacing w:val="-5"/>
                      <w:sz w:val="18"/>
                      <w:szCs w:val="18"/>
                    </w:rPr>
                    <w:t>无裂纹</w:t>
                  </w:r>
                </w:p>
              </w:tc>
              <w:tc>
                <w:tcPr>
                  <w:tcW w:w="1173" w:type="dxa"/>
                </w:tcPr>
                <w:p>
                  <w:pPr>
                    <w:spacing w:before="105" w:line="192" w:lineRule="auto"/>
                    <w:ind w:left="558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1773" w:type="dxa"/>
                </w:tcPr>
                <w:p>
                  <w:pPr>
                    <w:spacing w:before="105" w:line="192" w:lineRule="auto"/>
                    <w:ind w:left="481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GB/T</w:t>
                  </w:r>
                  <w:r>
                    <w:rPr>
                      <w:rFonts w:ascii="Times New Roman" w:hAnsi="Times New Roman" w:eastAsia="Times New Roman" w:cs="Times New Roman"/>
                      <w:spacing w:val="26"/>
                      <w:w w:val="10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1682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3" w:hRule="atLeast"/>
              </w:trPr>
              <w:tc>
                <w:tcPr>
                  <w:tcW w:w="2012" w:type="dxa"/>
                  <w:tcBorders>
                    <w:bottom w:val="nil"/>
                  </w:tcBorders>
                </w:tcPr>
                <w:p>
                  <w:pPr>
                    <w:pStyle w:val="8"/>
                    <w:spacing w:before="152" w:line="222" w:lineRule="auto"/>
                    <w:ind w:left="122"/>
                    <w:rPr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冲击回弹</w:t>
                  </w:r>
                </w:p>
              </w:tc>
              <w:tc>
                <w:tcPr>
                  <w:tcW w:w="1284" w:type="dxa"/>
                  <w:tcBorders>
                    <w:bottom w:val="nil"/>
                  </w:tcBorders>
                </w:tcPr>
                <w:p>
                  <w:pPr>
                    <w:pStyle w:val="8"/>
                    <w:spacing w:before="152"/>
                    <w:ind w:left="482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8"/>
                      <w:sz w:val="18"/>
                      <w:szCs w:val="18"/>
                    </w:rPr>
                    <w:t>≥</w:t>
                  </w:r>
                  <w:r>
                    <w:rPr>
                      <w:rFonts w:ascii="Times New Roman" w:hAnsi="Times New Roman" w:eastAsia="Times New Roman" w:cs="Times New Roman"/>
                      <w:spacing w:val="-8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173" w:type="dxa"/>
                  <w:tcBorders>
                    <w:bottom w:val="nil"/>
                  </w:tcBorders>
                </w:tcPr>
                <w:p>
                  <w:pPr>
                    <w:spacing w:before="181" w:line="188" w:lineRule="auto"/>
                    <w:ind w:left="516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773" w:type="dxa"/>
                  <w:tcBorders>
                    <w:bottom w:val="nil"/>
                  </w:tcBorders>
                </w:tcPr>
                <w:p>
                  <w:pPr>
                    <w:spacing w:before="177" w:line="192" w:lineRule="auto"/>
                    <w:ind w:left="481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GB/T</w:t>
                  </w:r>
                  <w:r>
                    <w:rPr>
                      <w:rFonts w:ascii="Times New Roman" w:hAnsi="Times New Roman" w:eastAsia="Times New Roman" w:cs="Times New Roman"/>
                      <w:spacing w:val="26"/>
                      <w:w w:val="10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1681</w:t>
                  </w:r>
                </w:p>
              </w:tc>
            </w:tr>
          </w:tbl>
          <w:p>
            <w:pPr>
              <w:spacing w:line="125" w:lineRule="auto"/>
              <w:rPr>
                <w:sz w:val="2"/>
              </w:rPr>
            </w:pPr>
          </w:p>
        </w:tc>
      </w:tr>
    </w:tbl>
    <w:p/>
    <w:p>
      <w:pPr>
        <w:sectPr>
          <w:pgSz w:w="11906" w:h="16839"/>
          <w:pgMar w:top="1431" w:right="1576" w:bottom="0" w:left="1575" w:header="0" w:footer="0" w:gutter="0"/>
          <w:cols w:space="720" w:num="1"/>
        </w:sectPr>
      </w:pPr>
    </w:p>
    <w:p>
      <w:pPr>
        <w:spacing w:line="91" w:lineRule="auto"/>
        <w:rPr>
          <w:sz w:val="2"/>
        </w:rPr>
      </w:pPr>
    </w:p>
    <w:tbl>
      <w:tblPr>
        <w:tblStyle w:val="7"/>
        <w:tblW w:w="87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424"/>
        <w:gridCol w:w="65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6" w:hRule="atLeast"/>
        </w:trPr>
        <w:tc>
          <w:tcPr>
            <w:tcW w:w="815" w:type="dxa"/>
          </w:tcPr>
          <w:p/>
        </w:tc>
        <w:tc>
          <w:tcPr>
            <w:tcW w:w="1424" w:type="dxa"/>
          </w:tcPr>
          <w:p/>
        </w:tc>
        <w:tc>
          <w:tcPr>
            <w:tcW w:w="6510" w:type="dxa"/>
          </w:tcPr>
          <w:p>
            <w:pPr>
              <w:pStyle w:val="8"/>
              <w:spacing w:before="42" w:line="219" w:lineRule="auto"/>
              <w:ind w:left="112"/>
            </w:pPr>
            <w:r>
              <w:rPr>
                <w:spacing w:val="-2"/>
              </w:rPr>
              <w:t>②存储稳定性</w:t>
            </w:r>
          </w:p>
          <w:p>
            <w:pPr>
              <w:spacing w:line="109" w:lineRule="exact"/>
            </w:pPr>
          </w:p>
          <w:tbl>
            <w:tblPr>
              <w:tblStyle w:val="7"/>
              <w:tblW w:w="6297" w:type="dxa"/>
              <w:tblInd w:w="107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62"/>
              <w:gridCol w:w="1257"/>
              <w:gridCol w:w="1258"/>
              <w:gridCol w:w="1258"/>
              <w:gridCol w:w="1262"/>
            </w:tblGrid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32" w:hRule="atLeast"/>
              </w:trPr>
              <w:tc>
                <w:tcPr>
                  <w:tcW w:w="1262" w:type="dxa"/>
                </w:tcPr>
                <w:p>
                  <w:pPr>
                    <w:pStyle w:val="8"/>
                    <w:spacing w:before="71" w:line="219" w:lineRule="auto"/>
                    <w:ind w:left="122"/>
                    <w:rPr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存储时间</w:t>
                  </w:r>
                </w:p>
              </w:tc>
              <w:tc>
                <w:tcPr>
                  <w:tcW w:w="1257" w:type="dxa"/>
                </w:tcPr>
                <w:p>
                  <w:pPr>
                    <w:pStyle w:val="8"/>
                    <w:spacing w:before="71" w:line="223" w:lineRule="auto"/>
                    <w:ind w:left="117"/>
                    <w:rPr>
                      <w:sz w:val="18"/>
                      <w:szCs w:val="18"/>
                    </w:rPr>
                  </w:pPr>
                  <w:r>
                    <w:rPr>
                      <w:spacing w:val="-8"/>
                      <w:sz w:val="18"/>
                      <w:szCs w:val="18"/>
                    </w:rPr>
                    <w:t>外观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71" w:line="212" w:lineRule="auto"/>
                    <w:ind w:left="104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1"/>
                      <w:sz w:val="18"/>
                      <w:szCs w:val="18"/>
                    </w:rPr>
                    <w:t>w(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NCO</w:t>
                  </w:r>
                  <w:r>
                    <w:rPr>
                      <w:spacing w:val="1"/>
                      <w:sz w:val="18"/>
                      <w:szCs w:val="18"/>
                    </w:rPr>
                    <w:t>）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71" w:line="340" w:lineRule="exact"/>
                    <w:ind w:left="118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4"/>
                      <w:position w:val="12"/>
                      <w:sz w:val="18"/>
                      <w:szCs w:val="18"/>
                    </w:rPr>
                    <w:t>粘度</w:t>
                  </w:r>
                  <w:r>
                    <w:rPr>
                      <w:spacing w:val="-34"/>
                      <w:position w:val="1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position w:val="12"/>
                      <w:sz w:val="18"/>
                      <w:szCs w:val="18"/>
                    </w:rPr>
                    <w:t>90</w:t>
                  </w:r>
                  <w:r>
                    <w:rPr>
                      <w:spacing w:val="-4"/>
                      <w:position w:val="12"/>
                      <w:sz w:val="18"/>
                      <w:szCs w:val="18"/>
                    </w:rPr>
                    <w:t>℃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position w:val="12"/>
                      <w:sz w:val="18"/>
                      <w:szCs w:val="18"/>
                    </w:rPr>
                    <w:t>/</w:t>
                  </w:r>
                </w:p>
                <w:p>
                  <w:pPr>
                    <w:spacing w:line="191" w:lineRule="auto"/>
                    <w:ind w:left="113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sz w:val="18"/>
                      <w:szCs w:val="18"/>
                    </w:rPr>
                    <w:t>(mPa.s)</w:t>
                  </w:r>
                </w:p>
              </w:tc>
              <w:tc>
                <w:tcPr>
                  <w:tcW w:w="1262" w:type="dxa"/>
                </w:tcPr>
                <w:p>
                  <w:pPr>
                    <w:pStyle w:val="8"/>
                    <w:spacing w:before="71" w:line="219" w:lineRule="auto"/>
                    <w:ind w:left="120"/>
                    <w:rPr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储存条件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6" w:hRule="atLeast"/>
              </w:trPr>
              <w:tc>
                <w:tcPr>
                  <w:tcW w:w="1262" w:type="dxa"/>
                </w:tcPr>
                <w:p>
                  <w:pPr>
                    <w:pStyle w:val="8"/>
                    <w:spacing w:before="68" w:line="225" w:lineRule="auto"/>
                    <w:ind w:left="114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3"/>
                      <w:sz w:val="18"/>
                      <w:szCs w:val="18"/>
                    </w:rPr>
                    <w:t>30</w:t>
                  </w:r>
                  <w:r>
                    <w:rPr>
                      <w:rFonts w:ascii="Times New Roman" w:hAnsi="Times New Roman" w:eastAsia="Times New Roman" w:cs="Times New Roman"/>
                      <w:spacing w:val="13"/>
                      <w:w w:val="101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-3"/>
                      <w:sz w:val="18"/>
                      <w:szCs w:val="18"/>
                    </w:rPr>
                    <w:t>天</w:t>
                  </w:r>
                </w:p>
              </w:tc>
              <w:tc>
                <w:tcPr>
                  <w:tcW w:w="1257" w:type="dxa"/>
                </w:tcPr>
                <w:p>
                  <w:pPr>
                    <w:pStyle w:val="8"/>
                    <w:spacing w:before="67" w:line="224" w:lineRule="auto"/>
                    <w:ind w:left="117"/>
                    <w:rPr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无色透明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68" w:line="223" w:lineRule="auto"/>
                    <w:ind w:left="124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3"/>
                      <w:sz w:val="18"/>
                      <w:szCs w:val="18"/>
                    </w:rPr>
                    <w:t>降低≤</w:t>
                  </w:r>
                  <w:r>
                    <w:rPr>
                      <w:rFonts w:ascii="Times New Roman" w:hAnsi="Times New Roman" w:eastAsia="Times New Roman" w:cs="Times New Roman"/>
                      <w:spacing w:val="-3"/>
                      <w:sz w:val="18"/>
                      <w:szCs w:val="18"/>
                    </w:rPr>
                    <w:t>0.02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68" w:line="223" w:lineRule="auto"/>
                    <w:ind w:left="11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3"/>
                      <w:sz w:val="18"/>
                      <w:szCs w:val="18"/>
                    </w:rPr>
                    <w:t>增加≤</w:t>
                  </w:r>
                  <w:r>
                    <w:rPr>
                      <w:rFonts w:ascii="Times New Roman" w:hAnsi="Times New Roman" w:eastAsia="Times New Roman" w:cs="Times New Roman"/>
                      <w:spacing w:val="-3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262" w:type="dxa"/>
                  <w:vMerge w:val="restart"/>
                  <w:tcBorders>
                    <w:bottom w:val="nil"/>
                  </w:tcBorders>
                </w:tcPr>
                <w:p>
                  <w:pPr>
                    <w:pStyle w:val="8"/>
                    <w:spacing w:before="67" w:line="290" w:lineRule="auto"/>
                    <w:ind w:left="120" w:right="107" w:firstLine="8"/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pacing w:val="-10"/>
                      <w:sz w:val="18"/>
                      <w:szCs w:val="18"/>
                      <w:lang w:eastAsia="zh-CN"/>
                    </w:rPr>
                    <w:t>密封铁桶，充</w:t>
                  </w:r>
                  <w:r>
                    <w:rPr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pacing w:val="-9"/>
                      <w:sz w:val="18"/>
                      <w:szCs w:val="18"/>
                      <w:lang w:eastAsia="zh-CN"/>
                    </w:rPr>
                    <w:t>氮气，温度不</w:t>
                  </w:r>
                  <w:r>
                    <w:rPr>
                      <w:spacing w:val="1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spacing w:val="-4"/>
                      <w:sz w:val="18"/>
                      <w:szCs w:val="18"/>
                      <w:lang w:eastAsia="zh-CN"/>
                    </w:rPr>
                    <w:t>超过</w:t>
                  </w:r>
                  <w:r>
                    <w:rPr>
                      <w:spacing w:val="-40"/>
                      <w:sz w:val="18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  <w:lang w:eastAsia="zh-CN"/>
                    </w:rPr>
                    <w:t>28</w:t>
                  </w:r>
                  <w:r>
                    <w:rPr>
                      <w:spacing w:val="-4"/>
                      <w:sz w:val="18"/>
                      <w:szCs w:val="18"/>
                      <w:lang w:eastAsia="zh-CN"/>
                    </w:rPr>
                    <w:t>℃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6" w:hRule="atLeast"/>
              </w:trPr>
              <w:tc>
                <w:tcPr>
                  <w:tcW w:w="1262" w:type="dxa"/>
                </w:tcPr>
                <w:p>
                  <w:pPr>
                    <w:pStyle w:val="8"/>
                    <w:spacing w:before="68" w:line="225" w:lineRule="auto"/>
                    <w:ind w:left="114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3"/>
                      <w:sz w:val="18"/>
                      <w:szCs w:val="18"/>
                    </w:rPr>
                    <w:t>90</w:t>
                  </w:r>
                  <w:r>
                    <w:rPr>
                      <w:rFonts w:ascii="Times New Roman" w:hAnsi="Times New Roman" w:eastAsia="Times New Roman" w:cs="Times New Roman"/>
                      <w:spacing w:val="14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-3"/>
                      <w:sz w:val="18"/>
                      <w:szCs w:val="18"/>
                    </w:rPr>
                    <w:t>天</w:t>
                  </w:r>
                </w:p>
              </w:tc>
              <w:tc>
                <w:tcPr>
                  <w:tcW w:w="1257" w:type="dxa"/>
                </w:tcPr>
                <w:p>
                  <w:pPr>
                    <w:pStyle w:val="8"/>
                    <w:spacing w:before="68" w:line="224" w:lineRule="auto"/>
                    <w:ind w:left="117"/>
                    <w:rPr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无色透明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68" w:line="223" w:lineRule="auto"/>
                    <w:ind w:left="124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3"/>
                      <w:sz w:val="18"/>
                      <w:szCs w:val="18"/>
                    </w:rPr>
                    <w:t>降低≤</w:t>
                  </w:r>
                  <w:r>
                    <w:rPr>
                      <w:rFonts w:ascii="Times New Roman" w:hAnsi="Times New Roman" w:eastAsia="Times New Roman" w:cs="Times New Roman"/>
                      <w:spacing w:val="-3"/>
                      <w:sz w:val="18"/>
                      <w:szCs w:val="18"/>
                    </w:rPr>
                    <w:t>0.05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68" w:line="223" w:lineRule="auto"/>
                    <w:ind w:left="11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增加≤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62" w:type="dxa"/>
                  <w:vMerge w:val="continue"/>
                  <w:tcBorders>
                    <w:top w:val="nil"/>
                    <w:bottom w:val="nil"/>
                  </w:tcBorders>
                </w:tcPr>
                <w:p/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0" w:hRule="atLeast"/>
              </w:trPr>
              <w:tc>
                <w:tcPr>
                  <w:tcW w:w="1262" w:type="dxa"/>
                </w:tcPr>
                <w:p>
                  <w:pPr>
                    <w:pStyle w:val="8"/>
                    <w:spacing w:before="69" w:line="225" w:lineRule="auto"/>
                    <w:ind w:left="114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365</w:t>
                  </w:r>
                  <w:r>
                    <w:rPr>
                      <w:rFonts w:ascii="Times New Roman" w:hAnsi="Times New Roman" w:eastAsia="Times New Roman" w:cs="Times New Roman"/>
                      <w:spacing w:val="11"/>
                      <w:w w:val="102"/>
                      <w:sz w:val="18"/>
                      <w:szCs w:val="18"/>
                    </w:rPr>
                    <w:t xml:space="preserve"> </w:t>
                  </w:r>
                  <w:r>
                    <w:rPr>
                      <w:spacing w:val="-2"/>
                      <w:sz w:val="18"/>
                      <w:szCs w:val="18"/>
                    </w:rPr>
                    <w:t>天</w:t>
                  </w:r>
                </w:p>
              </w:tc>
              <w:tc>
                <w:tcPr>
                  <w:tcW w:w="1257" w:type="dxa"/>
                </w:tcPr>
                <w:p>
                  <w:pPr>
                    <w:pStyle w:val="8"/>
                    <w:spacing w:before="68" w:line="224" w:lineRule="auto"/>
                    <w:ind w:left="117"/>
                    <w:rPr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无色透明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69" w:line="223" w:lineRule="auto"/>
                    <w:ind w:left="124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4"/>
                      <w:sz w:val="18"/>
                      <w:szCs w:val="18"/>
                    </w:rPr>
                    <w:t>降低≤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0.</w:t>
                  </w:r>
                  <w:r>
                    <w:rPr>
                      <w:rFonts w:ascii="Times New Roman" w:hAnsi="Times New Roman" w:eastAsia="Times New Roman" w:cs="Times New Roman"/>
                      <w:spacing w:val="-2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58" w:type="dxa"/>
                </w:tcPr>
                <w:p>
                  <w:pPr>
                    <w:pStyle w:val="8"/>
                    <w:spacing w:before="69" w:line="223" w:lineRule="auto"/>
                    <w:ind w:left="117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增加≤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62" w:type="dxa"/>
                  <w:vMerge w:val="continue"/>
                  <w:tcBorders>
                    <w:top w:val="nil"/>
                  </w:tcBorders>
                </w:tcPr>
                <w:p/>
              </w:tc>
            </w:tr>
          </w:tbl>
          <w:p>
            <w:pPr>
              <w:pStyle w:val="8"/>
              <w:spacing w:before="78" w:line="206" w:lineRule="auto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4" w:hRule="atLeast"/>
        </w:trPr>
        <w:tc>
          <w:tcPr>
            <w:tcW w:w="815" w:type="dxa"/>
          </w:tcPr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spacing w:line="251" w:lineRule="auto"/>
            </w:pPr>
          </w:p>
          <w:p>
            <w:pPr>
              <w:pStyle w:val="8"/>
              <w:spacing w:before="78"/>
              <w:ind w:left="181"/>
            </w:pPr>
            <w:r>
              <w:rPr>
                <w:spacing w:val="-9"/>
              </w:rPr>
              <w:t>技术</w:t>
            </w:r>
          </w:p>
          <w:p>
            <w:pPr>
              <w:pStyle w:val="8"/>
              <w:spacing w:line="222" w:lineRule="auto"/>
              <w:ind w:left="189"/>
            </w:pPr>
            <w:r>
              <w:rPr>
                <w:spacing w:val="-13"/>
              </w:rPr>
              <w:t>需求</w:t>
            </w:r>
          </w:p>
          <w:p>
            <w:pPr>
              <w:pStyle w:val="8"/>
              <w:spacing w:before="23" w:line="222" w:lineRule="auto"/>
              <w:ind w:left="186"/>
            </w:pPr>
            <w:r>
              <w:rPr>
                <w:spacing w:val="-11"/>
              </w:rPr>
              <w:t>情况</w:t>
            </w:r>
          </w:p>
          <w:p>
            <w:pPr>
              <w:pStyle w:val="8"/>
              <w:spacing w:before="22" w:line="224" w:lineRule="auto"/>
              <w:ind w:left="181"/>
            </w:pPr>
            <w:r>
              <w:rPr>
                <w:spacing w:val="-9"/>
              </w:rPr>
              <w:t>说明</w:t>
            </w:r>
          </w:p>
        </w:tc>
        <w:tc>
          <w:tcPr>
            <w:tcW w:w="1424" w:type="dxa"/>
          </w:tcPr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7" w:lineRule="auto"/>
            </w:pPr>
          </w:p>
          <w:p>
            <w:pPr>
              <w:spacing w:line="247" w:lineRule="auto"/>
            </w:pPr>
          </w:p>
          <w:p>
            <w:pPr>
              <w:pStyle w:val="8"/>
              <w:spacing w:before="78"/>
              <w:ind w:left="483"/>
            </w:pPr>
            <w:r>
              <w:rPr>
                <w:spacing w:val="-8"/>
              </w:rPr>
              <w:t>现有</w:t>
            </w:r>
          </w:p>
          <w:p>
            <w:pPr>
              <w:pStyle w:val="8"/>
              <w:spacing w:line="223" w:lineRule="auto"/>
              <w:ind w:left="483"/>
            </w:pPr>
            <w:r>
              <w:rPr>
                <w:spacing w:val="-8"/>
              </w:rPr>
              <w:t>基础</w:t>
            </w:r>
          </w:p>
        </w:tc>
        <w:tc>
          <w:tcPr>
            <w:tcW w:w="6510" w:type="dxa"/>
          </w:tcPr>
          <w:p>
            <w:pPr>
              <w:pStyle w:val="8"/>
              <w:spacing w:before="39" w:line="220" w:lineRule="auto"/>
              <w:ind w:left="132"/>
              <w:rPr>
                <w:b/>
                <w:bCs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7"/>
                <w:lang w:eastAsia="zh-CN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lang w:eastAsia="zh-CN"/>
              </w:rPr>
              <w:t xml:space="preserve"> </w:t>
            </w:r>
            <w:r>
              <w:rPr>
                <w:b/>
                <w:bCs/>
                <w:spacing w:val="-7"/>
                <w:lang w:eastAsia="zh-CN"/>
              </w:rPr>
              <w:t>开展的工作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对各种聚氨酯弹性体预聚体合成的配方设计和合成</w:t>
            </w:r>
            <w:r>
              <w:rPr>
                <w:rFonts w:hint="eastAsia" w:ascii="仿宋_GB2312" w:hAnsi="仿宋_GB2312" w:eastAsia="仿宋_GB2312" w:cs="仿宋_GB2312"/>
                <w:spacing w:val="1"/>
                <w:lang w:val="en-US" w:eastAsia="zh-CN"/>
              </w:rPr>
              <w:t>工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艺研究，及弹性体聚合工艺，有了较多的技术积累和技术成果； 一些研究成果评价达到国际先进、和国内领先水平。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开发的遇水膨胀聚氨酯弹性体功能材料，创新设计吸水性多元醇分子结构，研究开发了聚氨酯弹性体主链吸水的功能 性弹性体；并实现工业化的配方工艺生产，该技术拥有独立 自主知识产权，打破了该技术日本公司的独家垄断，国内首 次通过了水膨胀弹性体的 100 年使用寿命实验评价，在地下 工程的盾构法隧道结构防水中，成功应用国内越江隧道等的 高要求工程防水。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高承载力室外宽温域（-40℃~+60℃) 刚度稳定性聚氨酯弹性体材料研究，通过组合多元醇形式和交联扩链剂配方设计， 在不降低机械性能的前提下，极大的减少了不同温度下聚氨 酯弹性体模量的变化，整个测试温度范围的模量稳定性，显著高于对标的美国 GE 产品，在风电设备等高稳定性减震领 域有理想的推广价值。</w:t>
            </w:r>
          </w:p>
          <w:p>
            <w:pPr>
              <w:pStyle w:val="8"/>
              <w:spacing w:before="22" w:line="212" w:lineRule="auto"/>
              <w:ind w:left="114"/>
              <w:rPr>
                <w:b/>
                <w:bCs/>
              </w:rPr>
            </w:pPr>
            <w:r>
              <w:rPr>
                <w:rFonts w:ascii="Calibri" w:hAnsi="Calibri" w:eastAsia="Calibri" w:cs="Calibri"/>
                <w:b/>
                <w:bCs/>
                <w:spacing w:val="-5"/>
                <w:sz w:val="18"/>
                <w:szCs w:val="18"/>
              </w:rPr>
              <w:t>2.</w:t>
            </w:r>
            <w:r>
              <w:rPr>
                <w:rFonts w:ascii="Calibri" w:hAnsi="Calibri" w:eastAsia="Calibri" w:cs="Calibri"/>
                <w:b/>
                <w:bCs/>
                <w:spacing w:val="2"/>
                <w:sz w:val="18"/>
                <w:szCs w:val="18"/>
              </w:rPr>
              <w:t xml:space="preserve">   </w:t>
            </w:r>
            <w:r>
              <w:rPr>
                <w:b/>
                <w:bCs/>
                <w:spacing w:val="-5"/>
              </w:rPr>
              <w:t>所处阶段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进展：1.基于 NDI 为硬段，配合 AA（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instrText xml:space="preserve"> HYPERLINK "https://www.baidu.com/link?url=sE-WOGdHGYbmxywTN0XLLvq57PZL-ox6MdJR5tmigJ7hYiA4Q8FqNptBYNN2OyMdXq5KYxDCLPVkcc2ILMtQisNcMA47_W6giMAX182hwH_&amp;wd=&amp;eqid=9d47d05f0000d67c0000000664dc252e" </w:instrTex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聚己二酸乙二醇酯二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 xml:space="preserve"> 醇） 、PCL（聚己内酯二醇）、PTMG（聚四氢呋喃二醇）， 聚氨酯弹性体预聚体合成， 已经完成预聚体合成的基本工艺 摸索和小试规模的弹性体聚合实验，弹性体材料主要性能达 到国外同类产品水平；2.储存稳定性，可以满足室温合成预 聚体存储 30 天内，手工混合和聚氨酯浇注机的聚氨酯弹性体 试样和产品生产操作。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不足： 1.NDI 预聚体粘度指标 ，研发合成的预聚体高于 Vulkollan 同类产品约 400mPa.s；2 。存储稳定性，室温条件 合成预聚体存储 30 天，剩余 NCO 质量百分比下降达到 0.1。</w:t>
            </w:r>
            <w:r>
              <w:rPr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lang w:eastAsia="zh-CN"/>
              </w:rPr>
              <w:t xml:space="preserve">3. </w:t>
            </w:r>
            <w:r>
              <w:rPr>
                <w:b/>
                <w:bCs/>
                <w:spacing w:val="-1"/>
                <w:lang w:eastAsia="zh-CN"/>
              </w:rPr>
              <w:t>投入资金和人才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资金：项目研究的直接投入已经在 120 万元以上，用于合成材料、中试生产设备及部分合成实验仪器添置；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人才：教授级高工 1 人，高级工程师 2 人，分别在合成配方工艺研究、助剂和反应控制研究、设备工装与弹性体性能 研究分工合作；及配合实验员、工艺工程师、技师 4 人。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  <w:sectPr>
          <w:pgSz w:w="11906" w:h="16839"/>
          <w:pgMar w:top="1431" w:right="1576" w:bottom="0" w:left="1575" w:header="0" w:footer="0" w:gutter="0"/>
          <w:cols w:space="720" w:num="1"/>
        </w:sectPr>
      </w:pPr>
    </w:p>
    <w:p>
      <w:pPr>
        <w:spacing w:line="91" w:lineRule="auto"/>
        <w:rPr>
          <w:sz w:val="2"/>
          <w:lang w:eastAsia="zh-CN"/>
        </w:rPr>
      </w:pPr>
    </w:p>
    <w:tbl>
      <w:tblPr>
        <w:tblStyle w:val="7"/>
        <w:tblW w:w="87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424"/>
        <w:gridCol w:w="65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3" w:hRule="atLeast"/>
        </w:trPr>
        <w:tc>
          <w:tcPr>
            <w:tcW w:w="815" w:type="dxa"/>
          </w:tcPr>
          <w:p>
            <w:pPr>
              <w:rPr>
                <w:lang w:eastAsia="zh-CN"/>
              </w:rPr>
            </w:pPr>
          </w:p>
        </w:tc>
        <w:tc>
          <w:tcPr>
            <w:tcW w:w="1424" w:type="dxa"/>
          </w:tcPr>
          <w:p>
            <w:pPr>
              <w:rPr>
                <w:lang w:eastAsia="zh-CN"/>
              </w:rPr>
            </w:pPr>
          </w:p>
        </w:tc>
        <w:tc>
          <w:tcPr>
            <w:tcW w:w="6510" w:type="dxa"/>
          </w:tcPr>
          <w:p>
            <w:pPr>
              <w:pStyle w:val="8"/>
              <w:spacing w:before="42" w:line="222" w:lineRule="auto"/>
              <w:ind w:left="109"/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 xml:space="preserve">4.      </w:t>
            </w:r>
            <w:r>
              <w:rPr>
                <w:spacing w:val="-1"/>
              </w:rPr>
              <w:t>仪器设备</w:t>
            </w:r>
          </w:p>
          <w:p>
            <w:pPr>
              <w:pStyle w:val="8"/>
              <w:spacing w:before="26" w:line="236" w:lineRule="auto"/>
              <w:ind w:left="121" w:right="107" w:firstLine="520" w:firstLineChars="215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实验测试条件方面，建立了具备一定测试能力的实验室。可以开展弹性体硬度、拉伸强度、撕裂强度、压缩模量、压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缩永久变形、介质温度体积变化、有机树脂合成化学分析等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的基本检测，对项目的开展实施的密封件胶料性能检测的基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lang w:eastAsia="zh-CN"/>
              </w:rPr>
              <w:t>本条件已经具备。</w:t>
            </w:r>
          </w:p>
          <w:p>
            <w:pPr>
              <w:pStyle w:val="8"/>
              <w:spacing w:before="24" w:line="230" w:lineRule="auto"/>
              <w:ind w:left="121" w:right="107" w:firstLine="517" w:firstLineChars="21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化学合成仪器：有机合成的各种玻璃器皿、混合、加热控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制设备、-NCO</w:t>
            </w:r>
            <w:r>
              <w:rPr>
                <w:rFonts w:hint="eastAsia" w:ascii="仿宋_GB2312" w:hAnsi="仿宋_GB2312" w:eastAsia="仿宋_GB2312" w:cs="仿宋_GB2312"/>
                <w:spacing w:val="1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分析滴定、老化实验箱、</w:t>
            </w:r>
          </w:p>
          <w:p>
            <w:pPr>
              <w:pStyle w:val="8"/>
              <w:spacing w:before="25" w:line="231" w:lineRule="auto"/>
              <w:ind w:left="120" w:right="107" w:firstLine="517" w:firstLineChars="21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检测仪器：电子万能试验机、分析天平、密度仪、回弹性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测试机、硬度、磨耗实验机</w:t>
            </w:r>
          </w:p>
          <w:p>
            <w:pPr>
              <w:pStyle w:val="8"/>
              <w:spacing w:before="23" w:line="222" w:lineRule="auto"/>
              <w:ind w:left="116"/>
            </w:pPr>
            <w:r>
              <w:rPr>
                <w:rFonts w:ascii="Times New Roman" w:hAnsi="Times New Roman" w:eastAsia="Times New Roman" w:cs="Times New Roman"/>
                <w:spacing w:val="-7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7"/>
              </w:rPr>
              <w:t xml:space="preserve">    </w:t>
            </w:r>
            <w:r>
              <w:rPr>
                <w:spacing w:val="-7"/>
              </w:rPr>
              <w:t>生产条件</w:t>
            </w:r>
          </w:p>
          <w:p>
            <w:pPr>
              <w:pStyle w:val="8"/>
              <w:spacing w:before="24" w:line="235" w:lineRule="auto"/>
              <w:ind w:left="119" w:right="107" w:firstLine="532" w:firstLineChars="220"/>
              <w:jc w:val="both"/>
              <w:rPr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生产条件建设：已建立了聚氨酯弹性体浇注机 3 台（其中专门为项目开展定制 1 台）抽真空硫化平板、橡胶注射成型 机、大版面颚式硫化机、热喂料挤出机、开放式炼胶机、无 模成型密封件成套设备及一些行业内领先的专业化设备。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6" w:hRule="atLeast"/>
        </w:trPr>
        <w:tc>
          <w:tcPr>
            <w:tcW w:w="815" w:type="dxa"/>
            <w:vMerge w:val="restart"/>
            <w:tcBorders>
              <w:bottom w:val="nil"/>
            </w:tcBorders>
            <w:textDirection w:val="tbRlV"/>
          </w:tcPr>
          <w:p>
            <w:pPr>
              <w:pStyle w:val="8"/>
              <w:spacing w:before="285" w:line="200" w:lineRule="auto"/>
              <w:ind w:left="0" w:leftChars="0" w:firstLine="750" w:firstLineChars="300"/>
              <w:jc w:val="both"/>
            </w:pPr>
            <w:r>
              <w:rPr>
                <w:spacing w:val="5"/>
              </w:rPr>
              <w:t>产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学</w:t>
            </w:r>
            <w:r>
              <w:rPr>
                <w:spacing w:val="-54"/>
              </w:rPr>
              <w:t xml:space="preserve"> </w:t>
            </w:r>
            <w:r>
              <w:rPr>
                <w:spacing w:val="5"/>
              </w:rPr>
              <w:t>研</w:t>
            </w:r>
            <w:r>
              <w:rPr>
                <w:spacing w:val="-53"/>
              </w:rPr>
              <w:t xml:space="preserve"> </w:t>
            </w:r>
            <w:r>
              <w:rPr>
                <w:spacing w:val="5"/>
              </w:rPr>
              <w:t>合</w:t>
            </w:r>
            <w:r>
              <w:rPr>
                <w:spacing w:val="-54"/>
              </w:rPr>
              <w:t xml:space="preserve"> </w:t>
            </w:r>
            <w:r>
              <w:rPr>
                <w:spacing w:val="5"/>
              </w:rPr>
              <w:t>作</w:t>
            </w:r>
            <w:r>
              <w:rPr>
                <w:spacing w:val="-53"/>
              </w:rPr>
              <w:t xml:space="preserve"> </w:t>
            </w:r>
            <w:r>
              <w:rPr>
                <w:spacing w:val="5"/>
              </w:rPr>
              <w:t>需</w:t>
            </w:r>
            <w:r>
              <w:rPr>
                <w:spacing w:val="-54"/>
              </w:rPr>
              <w:t xml:space="preserve"> </w:t>
            </w:r>
            <w:r>
              <w:rPr>
                <w:spacing w:val="5"/>
              </w:rPr>
              <w:t>求</w:t>
            </w:r>
          </w:p>
        </w:tc>
        <w:tc>
          <w:tcPr>
            <w:tcW w:w="1424" w:type="dxa"/>
          </w:tcPr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宋体" w:eastAsia="仿宋_GB2312" w:cs="仿宋_GB2312"/>
                <w:snapToGrid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宋体" w:eastAsia="仿宋_GB2312" w:cs="仿宋_GB2312"/>
                <w:snapToGrid/>
                <w:kern w:val="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宋体" w:eastAsia="仿宋_GB2312" w:cs="仿宋_GB2312"/>
                <w:snapToGrid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napToGrid/>
                <w:kern w:val="0"/>
                <w:sz w:val="24"/>
                <w:szCs w:val="24"/>
                <w:lang w:eastAsia="zh-CN"/>
              </w:rPr>
              <w:t>需求</w:t>
            </w:r>
          </w:p>
          <w:p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</w:pPr>
            <w:r>
              <w:rPr>
                <w:rFonts w:hint="eastAsia" w:ascii="仿宋_GB2312" w:hAnsi="宋体" w:eastAsia="仿宋_GB2312" w:cs="仿宋_GB2312"/>
                <w:snapToGrid/>
                <w:kern w:val="0"/>
                <w:sz w:val="24"/>
                <w:szCs w:val="24"/>
                <w:lang w:eastAsia="zh-CN"/>
              </w:rPr>
              <w:t>描述</w:t>
            </w:r>
          </w:p>
        </w:tc>
        <w:tc>
          <w:tcPr>
            <w:tcW w:w="6510" w:type="dxa"/>
          </w:tcPr>
          <w:p>
            <w:pPr>
              <w:spacing w:line="302" w:lineRule="auto"/>
              <w:rPr>
                <w:lang w:eastAsia="zh-CN"/>
              </w:rPr>
            </w:pPr>
          </w:p>
          <w:p>
            <w:pPr>
              <w:spacing w:line="303" w:lineRule="auto"/>
              <w:rPr>
                <w:lang w:eastAsia="zh-CN"/>
              </w:rPr>
            </w:pPr>
          </w:p>
          <w:p>
            <w:pPr>
              <w:pStyle w:val="8"/>
              <w:spacing w:before="23" w:line="220" w:lineRule="auto"/>
              <w:ind w:left="123"/>
              <w:rPr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省内材料专业的相关专家老师。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6" w:hRule="atLeast"/>
        </w:trPr>
        <w:tc>
          <w:tcPr>
            <w:tcW w:w="815" w:type="dxa"/>
            <w:vMerge w:val="continue"/>
            <w:tcBorders>
              <w:top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1424" w:type="dxa"/>
          </w:tcPr>
          <w:p>
            <w:pPr>
              <w:pStyle w:val="8"/>
              <w:spacing w:before="302"/>
              <w:ind w:left="490"/>
              <w:rPr>
                <w:spacing w:val="-12"/>
              </w:rPr>
            </w:pPr>
            <w:r>
              <w:rPr>
                <w:spacing w:val="-12"/>
              </w:rPr>
              <w:t>合作</w:t>
            </w:r>
          </w:p>
          <w:p>
            <w:pPr>
              <w:pStyle w:val="8"/>
              <w:spacing w:line="223" w:lineRule="auto"/>
              <w:ind w:left="489"/>
            </w:pPr>
            <w:r>
              <w:rPr>
                <w:spacing w:val="-11"/>
              </w:rPr>
              <w:t>方式</w:t>
            </w:r>
          </w:p>
        </w:tc>
        <w:tc>
          <w:tcPr>
            <w:tcW w:w="6510" w:type="dxa"/>
          </w:tcPr>
          <w:p>
            <w:pPr>
              <w:pStyle w:val="8"/>
              <w:spacing w:before="301" w:line="219" w:lineRule="auto"/>
              <w:ind w:left="258"/>
              <w:rPr>
                <w:lang w:eastAsia="zh-CN"/>
              </w:rPr>
            </w:pPr>
            <w:r>
              <w:rPr>
                <w:spacing w:val="-4"/>
                <w:lang w:eastAsia="zh-CN"/>
              </w:rPr>
              <w:t>□技术转让    □技术入股</w:t>
            </w:r>
            <w:r>
              <w:rPr>
                <w:spacing w:val="6"/>
                <w:lang w:eastAsia="zh-CN"/>
              </w:rPr>
              <w:t xml:space="preserve">    </w:t>
            </w:r>
            <w:r>
              <w:rPr>
                <w:rFonts w:ascii="MS UI Gothic" w:hAnsi="MS UI Gothic" w:eastAsia="MS UI Gothic" w:cs="MS UI Gothic"/>
                <w:spacing w:val="-4"/>
                <w:lang w:eastAsia="zh-CN"/>
              </w:rPr>
              <w:t>☑</w:t>
            </w:r>
            <w:r>
              <w:rPr>
                <w:spacing w:val="-4"/>
                <w:lang w:eastAsia="zh-CN"/>
              </w:rPr>
              <w:t>联合开发</w:t>
            </w:r>
            <w:r>
              <w:rPr>
                <w:spacing w:val="12"/>
                <w:lang w:eastAsia="zh-CN"/>
              </w:rPr>
              <w:t xml:space="preserve">   </w:t>
            </w:r>
            <w:r>
              <w:rPr>
                <w:spacing w:val="-4"/>
                <w:lang w:eastAsia="zh-CN"/>
              </w:rPr>
              <w:t>□委托研发</w:t>
            </w:r>
          </w:p>
          <w:p>
            <w:pPr>
              <w:pStyle w:val="8"/>
              <w:spacing w:before="28" w:line="222" w:lineRule="auto"/>
              <w:ind w:left="258"/>
              <w:rPr>
                <w:lang w:eastAsia="zh-CN"/>
              </w:rPr>
            </w:pPr>
            <w:r>
              <w:rPr>
                <w:spacing w:val="-4"/>
                <w:lang w:eastAsia="zh-CN"/>
              </w:rPr>
              <w:t>□委托团队、专家长期技术服务  □共建新研发、生产实体</w:t>
            </w:r>
          </w:p>
        </w:tc>
      </w:tr>
    </w:tbl>
    <w:p/>
    <w:p>
      <w:pPr>
        <w:sectPr>
          <w:pgSz w:w="11906" w:h="16839"/>
          <w:pgMar w:top="1431" w:right="1576" w:bottom="0" w:left="1575" w:header="0" w:footer="0" w:gutter="0"/>
          <w:cols w:space="720" w:num="1"/>
        </w:sectPr>
      </w:pPr>
    </w:p>
    <w:p>
      <w:pPr>
        <w:spacing w:before="19"/>
      </w:pPr>
    </w:p>
    <w:p>
      <w:pPr>
        <w:spacing w:before="19"/>
      </w:pPr>
    </w:p>
    <w:p>
      <w:pPr>
        <w:spacing w:before="18"/>
      </w:pPr>
    </w:p>
    <w:p>
      <w:pPr>
        <w:spacing w:before="18"/>
      </w:pPr>
    </w:p>
    <w:p>
      <w:pPr>
        <w:pStyle w:val="4"/>
        <w:spacing w:before="25" w:line="231" w:lineRule="auto"/>
        <w:ind w:left="248" w:right="429" w:firstLine="480"/>
        <w:rPr>
          <w:lang w:eastAsia="zh-CN"/>
        </w:rPr>
      </w:pPr>
    </w:p>
    <w:sectPr>
      <w:headerReference r:id="rId3" w:type="default"/>
      <w:pgSz w:w="11906" w:h="16839"/>
      <w:pgMar w:top="400" w:right="1576" w:bottom="0" w:left="157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UI 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Tk2MzkzNmYyOWIyMDkzODJiNDg1NTQ2MThmYjE2ODcifQ=="/>
  </w:docVars>
  <w:rsids>
    <w:rsidRoot w:val="00043009"/>
    <w:rsid w:val="00043009"/>
    <w:rsid w:val="004F2686"/>
    <w:rsid w:val="00C836E3"/>
    <w:rsid w:val="06D67AE8"/>
    <w:rsid w:val="0BFE7494"/>
    <w:rsid w:val="10670629"/>
    <w:rsid w:val="19A02EB5"/>
    <w:rsid w:val="3881510B"/>
    <w:rsid w:val="3F7D72B5"/>
    <w:rsid w:val="521916FB"/>
    <w:rsid w:val="5EB0461C"/>
    <w:rsid w:val="5F6B4FF3"/>
    <w:rsid w:val="62FC0D47"/>
    <w:rsid w:val="633A1E6D"/>
    <w:rsid w:val="7A90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sz w:val="24"/>
      <w:szCs w:val="30"/>
    </w:r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2489</Words>
  <Characters>2774</Characters>
  <Lines>30</Lines>
  <Paragraphs>8</Paragraphs>
  <TotalTime>1</TotalTime>
  <ScaleCrop>false</ScaleCrop>
  <LinksUpToDate>false</LinksUpToDate>
  <CharactersWithSpaces>2984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2023-08-18T23:21:00Z</dcterms:created>
  <dc:creator>33149</dc:creator>
  <cp:lastModifiedBy>Bible</cp:lastModifiedBy>
  <dcterms:modified xsi:type="dcterms:W3CDTF">2023-09-06T04:56:17Z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2023-08-18T23:21:42Z</vt:filetime>
  </property>
  <property fmtid="{D5CDD505-2E9C-101B-9397-08002B2CF9AE}" pid="4" name="KSOProductBuildVer">
    <vt:lpwstr>2052-11.1.0.14309</vt:lpwstr>
  </property>
  <property fmtid="{D5CDD505-2E9C-101B-9397-08002B2CF9AE}" pid="5" name="ICV">
    <vt:lpwstr>FD67005D2B1E45E4B3F0C70738C17D13_12</vt:lpwstr>
  </property>
</Properties>
</file>